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2059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</w:t>
      </w:r>
      <w:r w:rsidR="006A7157">
        <w:rPr>
          <w:color w:val="0070C0"/>
          <w:sz w:val="24"/>
        </w:rPr>
        <w:t>al</w:t>
      </w:r>
      <w:r w:rsidRPr="00AE1B0C">
        <w:rPr>
          <w:color w:val="0070C0"/>
          <w:sz w:val="24"/>
        </w:rPr>
        <w:t>th S</w:t>
      </w:r>
      <w:r w:rsidR="00F31EDE">
        <w:rPr>
          <w:color w:val="0070C0"/>
          <w:sz w:val="24"/>
        </w:rPr>
        <w:t>tudies</w:t>
      </w:r>
    </w:p>
    <w:p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:rsidR="004F4BF4" w:rsidRPr="004F4BF4" w:rsidRDefault="005A500D" w:rsidP="00AE1B0C">
      <w:pPr>
        <w:spacing w:after="0" w:line="240" w:lineRule="auto"/>
        <w:jc w:val="right"/>
        <w:rPr>
          <w:color w:val="0070C0"/>
          <w:sz w:val="18"/>
        </w:rPr>
      </w:pPr>
      <w:r>
        <w:rPr>
          <w:color w:val="0070C0"/>
          <w:sz w:val="18"/>
        </w:rPr>
        <w:t>Phone: +385 51 554 929</w:t>
      </w:r>
    </w:p>
    <w:p w:rsidR="00AE1B0C" w:rsidRDefault="004F4BF4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:rsidR="002640CB" w:rsidRDefault="002640CB" w:rsidP="005B7C75">
      <w:pPr>
        <w:spacing w:after="0" w:line="240" w:lineRule="auto"/>
        <w:rPr>
          <w:color w:val="0070C0"/>
          <w:sz w:val="18"/>
        </w:rPr>
      </w:pPr>
    </w:p>
    <w:p w:rsidR="008819DE" w:rsidRDefault="008819DE" w:rsidP="005B7C75">
      <w:pPr>
        <w:spacing w:after="0" w:line="240" w:lineRule="auto"/>
        <w:rPr>
          <w:sz w:val="20"/>
          <w:szCs w:val="20"/>
        </w:rPr>
      </w:pPr>
    </w:p>
    <w:p w:rsidR="008819DE" w:rsidRPr="00523925" w:rsidRDefault="005B7C75" w:rsidP="005B7C7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>Klasa:</w:t>
      </w:r>
      <w:r w:rsidR="00336008"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C46164" w:rsidRPr="00523925">
        <w:rPr>
          <w:rFonts w:cstheme="minorHAnsi"/>
          <w:color w:val="000000" w:themeColor="text1"/>
          <w:sz w:val="24"/>
          <w:szCs w:val="24"/>
        </w:rPr>
        <w:t>401-01/</w:t>
      </w:r>
      <w:r w:rsidR="00AC36C0">
        <w:rPr>
          <w:rFonts w:cstheme="minorHAnsi"/>
          <w:color w:val="000000" w:themeColor="text1"/>
          <w:sz w:val="24"/>
          <w:szCs w:val="24"/>
        </w:rPr>
        <w:t>22-01-01</w:t>
      </w:r>
    </w:p>
    <w:p w:rsidR="002B73FD" w:rsidRPr="00523925" w:rsidRDefault="005B7C75" w:rsidP="008819D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>Ur</w:t>
      </w:r>
      <w:r w:rsidR="00C46164" w:rsidRPr="00523925">
        <w:rPr>
          <w:rFonts w:cstheme="minorHAnsi"/>
          <w:color w:val="000000" w:themeColor="text1"/>
          <w:sz w:val="24"/>
          <w:szCs w:val="24"/>
        </w:rPr>
        <w:t>.</w:t>
      </w:r>
      <w:r w:rsidRPr="00523925">
        <w:rPr>
          <w:rFonts w:cstheme="minorHAnsi"/>
          <w:color w:val="000000" w:themeColor="text1"/>
          <w:sz w:val="24"/>
          <w:szCs w:val="24"/>
        </w:rPr>
        <w:t xml:space="preserve"> broj:</w:t>
      </w:r>
      <w:r w:rsidR="00336008"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AC36C0">
        <w:rPr>
          <w:rFonts w:cstheme="minorHAnsi"/>
          <w:color w:val="000000" w:themeColor="text1"/>
          <w:sz w:val="24"/>
          <w:szCs w:val="24"/>
        </w:rPr>
        <w:t>2170-57-5-01-22-1</w:t>
      </w:r>
    </w:p>
    <w:p w:rsidR="008819DE" w:rsidRPr="00471BCB" w:rsidRDefault="008819DE" w:rsidP="008819DE">
      <w:pPr>
        <w:spacing w:after="0" w:line="240" w:lineRule="auto"/>
        <w:rPr>
          <w:rFonts w:cstheme="minorHAnsi"/>
          <w:color w:val="0070C0"/>
          <w:sz w:val="24"/>
          <w:szCs w:val="24"/>
        </w:rPr>
      </w:pPr>
    </w:p>
    <w:p w:rsidR="002B73FD" w:rsidRPr="00523925" w:rsidRDefault="00BA7CF1" w:rsidP="002B73F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>U Rijeci,</w:t>
      </w:r>
      <w:r w:rsid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523925" w:rsidRPr="00523925">
        <w:rPr>
          <w:rFonts w:cstheme="minorHAnsi"/>
          <w:color w:val="000000" w:themeColor="text1"/>
          <w:sz w:val="24"/>
          <w:szCs w:val="24"/>
        </w:rPr>
        <w:t>25</w:t>
      </w:r>
      <w:r w:rsidR="00471BCB" w:rsidRPr="00523925">
        <w:rPr>
          <w:rFonts w:cstheme="minorHAnsi"/>
          <w:color w:val="000000" w:themeColor="text1"/>
          <w:sz w:val="24"/>
          <w:szCs w:val="24"/>
        </w:rPr>
        <w:t>.01.202</w:t>
      </w:r>
      <w:r w:rsidR="002E28A6" w:rsidRPr="00523925">
        <w:rPr>
          <w:rFonts w:cstheme="minorHAnsi"/>
          <w:color w:val="000000" w:themeColor="text1"/>
          <w:sz w:val="24"/>
          <w:szCs w:val="24"/>
        </w:rPr>
        <w:t>2</w:t>
      </w:r>
      <w:r w:rsidR="00013F33" w:rsidRPr="00523925">
        <w:rPr>
          <w:rFonts w:cstheme="minorHAnsi"/>
          <w:color w:val="000000" w:themeColor="text1"/>
          <w:sz w:val="24"/>
          <w:szCs w:val="24"/>
        </w:rPr>
        <w:t>.</w:t>
      </w:r>
    </w:p>
    <w:p w:rsidR="002B73FD" w:rsidRPr="00471BCB" w:rsidRDefault="002B73FD" w:rsidP="002B73FD">
      <w:pPr>
        <w:jc w:val="center"/>
        <w:rPr>
          <w:rFonts w:cstheme="minorHAnsi"/>
          <w:b/>
          <w:sz w:val="24"/>
          <w:szCs w:val="24"/>
        </w:rPr>
      </w:pPr>
      <w:r w:rsidRPr="00471BCB">
        <w:rPr>
          <w:rFonts w:cstheme="minorHAnsi"/>
          <w:b/>
          <w:sz w:val="24"/>
          <w:szCs w:val="24"/>
        </w:rPr>
        <w:t xml:space="preserve">Bilješke uz </w:t>
      </w:r>
      <w:r w:rsidR="001C0039" w:rsidRPr="00471BCB">
        <w:rPr>
          <w:rFonts w:cstheme="minorHAnsi"/>
          <w:b/>
          <w:sz w:val="24"/>
          <w:szCs w:val="24"/>
        </w:rPr>
        <w:t xml:space="preserve">financijski izvještaj </w:t>
      </w:r>
    </w:p>
    <w:p w:rsidR="002B73FD" w:rsidRPr="00471BCB" w:rsidRDefault="002B73FD" w:rsidP="00745A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Naziv: Fakultet zdravstvenih studija</w:t>
      </w:r>
    </w:p>
    <w:p w:rsidR="002B73FD" w:rsidRPr="00471BCB" w:rsidRDefault="002B73FD" w:rsidP="00745A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Adresa: Viktora Cara Emina 5, 51000 Rijeka</w:t>
      </w:r>
    </w:p>
    <w:p w:rsidR="002B73FD" w:rsidRPr="00471BCB" w:rsidRDefault="00745A62" w:rsidP="00745A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Djelatnost: Visoko o</w:t>
      </w:r>
      <w:r w:rsidR="002B73FD" w:rsidRPr="00471BCB">
        <w:rPr>
          <w:rFonts w:cstheme="minorHAnsi"/>
          <w:sz w:val="24"/>
          <w:szCs w:val="24"/>
        </w:rPr>
        <w:t>brazovanje 8542</w:t>
      </w:r>
    </w:p>
    <w:p w:rsidR="002B73FD" w:rsidRPr="00471BCB" w:rsidRDefault="002B73FD" w:rsidP="00745A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 xml:space="preserve">Odgovorna </w:t>
      </w:r>
      <w:r w:rsidR="00EF08D5">
        <w:rPr>
          <w:rFonts w:cstheme="minorHAnsi"/>
          <w:sz w:val="24"/>
          <w:szCs w:val="24"/>
        </w:rPr>
        <w:t>osoba: Prof. dr. sc. Daniela Malnar</w:t>
      </w:r>
      <w:r w:rsidRPr="00471BCB">
        <w:rPr>
          <w:rFonts w:cstheme="minorHAnsi"/>
          <w:sz w:val="24"/>
          <w:szCs w:val="24"/>
        </w:rPr>
        <w:t>, dr. med.</w:t>
      </w:r>
    </w:p>
    <w:p w:rsidR="002B73FD" w:rsidRPr="00471BCB" w:rsidRDefault="002B73FD" w:rsidP="002B73FD">
      <w:pPr>
        <w:jc w:val="both"/>
        <w:rPr>
          <w:rFonts w:cstheme="minorHAnsi"/>
          <w:sz w:val="24"/>
          <w:szCs w:val="24"/>
        </w:rPr>
      </w:pPr>
    </w:p>
    <w:p w:rsidR="005B7C75" w:rsidRPr="00471BCB" w:rsidRDefault="005B7C75" w:rsidP="005B7C75">
      <w:pPr>
        <w:ind w:firstLine="708"/>
        <w:jc w:val="both"/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Financijsko izvješće</w:t>
      </w:r>
      <w:r w:rsidR="008700E1" w:rsidRPr="00471BCB">
        <w:rPr>
          <w:rFonts w:cstheme="minorHAnsi"/>
          <w:sz w:val="24"/>
          <w:szCs w:val="24"/>
        </w:rPr>
        <w:t xml:space="preserve"> Fakulteta zdravstvenih studija sastavljena su sukladno odredbama Zakona o računovodstvu, a pri njihovu sastavljaju  primijenjeni su zakonski propisi, Međunar</w:t>
      </w:r>
      <w:r w:rsidR="00C50F3B" w:rsidRPr="00471BCB">
        <w:rPr>
          <w:rFonts w:cstheme="minorHAnsi"/>
          <w:sz w:val="24"/>
          <w:szCs w:val="24"/>
        </w:rPr>
        <w:t xml:space="preserve">odni računovodstveni standardi i </w:t>
      </w:r>
      <w:r w:rsidR="008700E1" w:rsidRPr="00471BCB">
        <w:rPr>
          <w:rFonts w:cstheme="minorHAnsi"/>
          <w:sz w:val="24"/>
          <w:szCs w:val="24"/>
        </w:rPr>
        <w:t>Međunarodni stand</w:t>
      </w:r>
      <w:r w:rsidRPr="00471BCB">
        <w:rPr>
          <w:rFonts w:cstheme="minorHAnsi"/>
          <w:sz w:val="24"/>
          <w:szCs w:val="24"/>
        </w:rPr>
        <w:t>ardi financijskog izvještavanja, s</w:t>
      </w:r>
      <w:r w:rsidR="006A3421" w:rsidRPr="00471BCB">
        <w:rPr>
          <w:rFonts w:cstheme="minorHAnsi"/>
          <w:sz w:val="24"/>
          <w:szCs w:val="24"/>
        </w:rPr>
        <w:t>ukladno Okružnici Ministarstva financija o predaji i konsolidaciji financijskih izvještaj</w:t>
      </w:r>
      <w:r w:rsidR="00C00C9A" w:rsidRPr="00471BCB">
        <w:rPr>
          <w:rFonts w:cstheme="minorHAnsi"/>
          <w:sz w:val="24"/>
          <w:szCs w:val="24"/>
        </w:rPr>
        <w:t>a u su</w:t>
      </w:r>
      <w:r w:rsidR="00BA7CF1" w:rsidRPr="00471BCB">
        <w:rPr>
          <w:rFonts w:cstheme="minorHAnsi"/>
          <w:sz w:val="24"/>
          <w:szCs w:val="24"/>
        </w:rPr>
        <w:t>stav</w:t>
      </w:r>
      <w:r w:rsidR="00E06EC9" w:rsidRPr="00471BCB">
        <w:rPr>
          <w:rFonts w:cstheme="minorHAnsi"/>
          <w:sz w:val="24"/>
          <w:szCs w:val="24"/>
        </w:rPr>
        <w:t>u proračuna (</w:t>
      </w:r>
      <w:r w:rsidR="002E28A6">
        <w:t>KLASA : 400-02 l2l-01 I 25 URBROJ: 513-05-03-21-5 od</w:t>
      </w:r>
      <w:r w:rsidR="00B75FD6">
        <w:t xml:space="preserve"> 27. prosinc</w:t>
      </w:r>
      <w:r w:rsidR="002E28A6">
        <w:t>a 2021</w:t>
      </w:r>
      <w:r w:rsidR="002E28A6">
        <w:rPr>
          <w:rFonts w:cstheme="minorHAnsi"/>
          <w:sz w:val="24"/>
          <w:szCs w:val="24"/>
        </w:rPr>
        <w:t>.)</w:t>
      </w:r>
    </w:p>
    <w:p w:rsidR="00BA7CF1" w:rsidRPr="00471BCB" w:rsidRDefault="00BA7CF1" w:rsidP="006248B4">
      <w:pPr>
        <w:ind w:firstLine="708"/>
        <w:jc w:val="both"/>
        <w:rPr>
          <w:rFonts w:cstheme="minorHAnsi"/>
          <w:b/>
          <w:sz w:val="24"/>
          <w:szCs w:val="24"/>
        </w:rPr>
      </w:pPr>
      <w:r w:rsidRPr="00471BCB">
        <w:rPr>
          <w:rFonts w:cstheme="minorHAnsi"/>
          <w:b/>
          <w:sz w:val="24"/>
          <w:szCs w:val="24"/>
        </w:rPr>
        <w:t>Bilješke uz obra</w:t>
      </w:r>
      <w:r w:rsidR="006B53E1" w:rsidRPr="00471BCB">
        <w:rPr>
          <w:rFonts w:cstheme="minorHAnsi"/>
          <w:b/>
          <w:sz w:val="24"/>
          <w:szCs w:val="24"/>
        </w:rPr>
        <w:t>zac o prihodima i rashodima, primicima i izdacima</w:t>
      </w:r>
      <w:r w:rsidRPr="00471BCB">
        <w:rPr>
          <w:rFonts w:cstheme="minorHAnsi"/>
          <w:b/>
          <w:sz w:val="24"/>
          <w:szCs w:val="24"/>
        </w:rPr>
        <w:t>:</w:t>
      </w:r>
    </w:p>
    <w:p w:rsidR="006A61FE" w:rsidRDefault="006A61FE" w:rsidP="006248B4">
      <w:pPr>
        <w:ind w:firstLine="708"/>
        <w:jc w:val="both"/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Prihodi poslov</w:t>
      </w:r>
      <w:r w:rsidR="00903292" w:rsidRPr="00471BCB">
        <w:rPr>
          <w:rFonts w:cstheme="minorHAnsi"/>
          <w:sz w:val="24"/>
          <w:szCs w:val="24"/>
        </w:rPr>
        <w:t xml:space="preserve">anja na AOP 001 porasli su za </w:t>
      </w:r>
      <w:r w:rsidR="00B75FD6">
        <w:rPr>
          <w:rFonts w:cstheme="minorHAnsi"/>
          <w:sz w:val="24"/>
          <w:szCs w:val="24"/>
        </w:rPr>
        <w:t>1,7</w:t>
      </w:r>
      <w:r w:rsidRPr="00471BCB">
        <w:rPr>
          <w:rFonts w:cstheme="minorHAnsi"/>
          <w:sz w:val="24"/>
          <w:szCs w:val="24"/>
        </w:rPr>
        <w:t xml:space="preserve">% najvećim djelom na prihodima </w:t>
      </w:r>
      <w:r w:rsidR="00866F94">
        <w:rPr>
          <w:rFonts w:cstheme="minorHAnsi"/>
          <w:sz w:val="24"/>
          <w:szCs w:val="24"/>
        </w:rPr>
        <w:t>doznačenim od projekata</w:t>
      </w:r>
      <w:r w:rsidR="003B0D3F" w:rsidRPr="00471BCB">
        <w:rPr>
          <w:rFonts w:cstheme="minorHAnsi"/>
          <w:sz w:val="24"/>
          <w:szCs w:val="24"/>
        </w:rPr>
        <w:t>.</w:t>
      </w:r>
      <w:r w:rsidR="00A52A97">
        <w:rPr>
          <w:rFonts w:cstheme="minorHAnsi"/>
          <w:sz w:val="24"/>
          <w:szCs w:val="24"/>
        </w:rPr>
        <w:t xml:space="preserve"> </w:t>
      </w:r>
    </w:p>
    <w:p w:rsidR="00A52A97" w:rsidRPr="006A61FE" w:rsidRDefault="00A52A97" w:rsidP="00A52A97">
      <w:pPr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Zabilježen j</w:t>
      </w:r>
      <w:r w:rsidR="00866F94">
        <w:rPr>
          <w:rFonts w:cstheme="minorHAnsi"/>
          <w:sz w:val="24"/>
          <w:szCs w:val="24"/>
        </w:rPr>
        <w:t>e rast na svi prihodima izuzev p</w:t>
      </w:r>
      <w:r>
        <w:rPr>
          <w:rFonts w:cstheme="minorHAnsi"/>
          <w:sz w:val="24"/>
          <w:szCs w:val="24"/>
        </w:rPr>
        <w:t xml:space="preserve">rihoda po posebnim propisima, odnosno školarina na AOP 101, koji bilježe pad od 27,3% u odnosu na prethodnu godinu. </w:t>
      </w:r>
      <w:r>
        <w:rPr>
          <w:sz w:val="24"/>
          <w:szCs w:val="24"/>
        </w:rPr>
        <w:t>Do pada je došlo prvenstveno radi smanjenja cijene školarine diplomskih studija u školskoj godini 2020/2</w:t>
      </w:r>
      <w:r w:rsidR="00866F94">
        <w:rPr>
          <w:sz w:val="24"/>
          <w:szCs w:val="24"/>
        </w:rPr>
        <w:t>021 sa 13.240 HRK na 9.240 HRK.</w:t>
      </w:r>
    </w:p>
    <w:p w:rsidR="00A74F44" w:rsidRDefault="00A74F44" w:rsidP="00A74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svim ostalim prihodima zabilježen je rast, tako da je na AOP (045) u kom se nalaze </w:t>
      </w:r>
      <w:r w:rsidR="00B90E90">
        <w:rPr>
          <w:sz w:val="24"/>
          <w:szCs w:val="24"/>
        </w:rPr>
        <w:t>pomoći iz inozemstva</w:t>
      </w:r>
      <w:r>
        <w:rPr>
          <w:sz w:val="24"/>
          <w:szCs w:val="24"/>
        </w:rPr>
        <w:t xml:space="preserve">, odnosno dobivena sredstva po tim projektima, zabilježen rast od 147%. Na predmetni rast najviše je utjecala suradnja na projektu Chang Ang University industry Academic Cooperation Foundation iz Koreje - AOP (046)., te Tekuće pomoći od institucija i tijela EU na AOP (052). </w:t>
      </w:r>
    </w:p>
    <w:p w:rsidR="00A74F44" w:rsidRDefault="00A74F44" w:rsidP="00A74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Osim toga došlo je do povećanja prihoda na AOP (072</w:t>
      </w:r>
      <w:r w:rsidR="00B90E9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90E90">
        <w:rPr>
          <w:sz w:val="24"/>
          <w:szCs w:val="24"/>
        </w:rPr>
        <w:t xml:space="preserve">u kom se nalaze pomoći proračunskih korisnika proračuna koji im je nadležan koji se odnose na projekte Sveučilišta, odnosno dobivena sredstva po tim projektima </w:t>
      </w:r>
      <w:r>
        <w:rPr>
          <w:sz w:val="24"/>
          <w:szCs w:val="24"/>
        </w:rPr>
        <w:t xml:space="preserve">koji bilježe povećanje od 46,4% u odnosu na prethodnu godinu. </w:t>
      </w:r>
    </w:p>
    <w:p w:rsidR="00866F94" w:rsidRPr="00866F94" w:rsidRDefault="00866F94" w:rsidP="00866F9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od imovine  AOP (077) ostvareni su u iznosu od 397 kn i bilježe pad od 6,8%.</w:t>
      </w:r>
    </w:p>
    <w:p w:rsidR="00A74F44" w:rsidRDefault="00A74F44" w:rsidP="00A74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 i robe te pruženih usluga AOP (119) ostvareni su u iznosu od 311.422 HRK što pokazuje rast od 326% u odnosu na prethodnu godinu, iz razloga realizacije tečaja  i cjeloživotnog programa koji u prethodnoj godini nije bio realiziran.</w:t>
      </w:r>
    </w:p>
    <w:p w:rsidR="00A74F44" w:rsidRDefault="00A74F44" w:rsidP="00A74F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Prihod iz nadležnog proračuna za financiranje redovne djelatnosti AOP (128) ostvaren je u iznosu od 11.104.127 HRK što predstavlja povećanje od 10,7% u odnosu na prethodnu godinu.</w:t>
      </w:r>
    </w:p>
    <w:p w:rsidR="00A74F44" w:rsidRDefault="00A74F44" w:rsidP="006248B4">
      <w:pPr>
        <w:ind w:firstLine="708"/>
        <w:jc w:val="both"/>
        <w:rPr>
          <w:rFonts w:cstheme="minorHAnsi"/>
          <w:sz w:val="24"/>
          <w:szCs w:val="24"/>
        </w:rPr>
      </w:pPr>
    </w:p>
    <w:p w:rsidR="00B90E90" w:rsidRDefault="00B90E90" w:rsidP="0051222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od imovine  AOP (077) ostvareni su u iznosu od 397 kn i bilježe pad od 6,8%.</w:t>
      </w:r>
    </w:p>
    <w:p w:rsidR="00B937DF" w:rsidRPr="00B937DF" w:rsidRDefault="00B937DF" w:rsidP="00B937DF">
      <w:pPr>
        <w:ind w:firstLine="708"/>
      </w:pPr>
      <w:r>
        <w:t>Ukupni rashodi poslovanja AOP (146) porasli su za 17,1%</w:t>
      </w:r>
    </w:p>
    <w:p w:rsidR="00A330F9" w:rsidRPr="00B937DF" w:rsidRDefault="001D26E0" w:rsidP="00B937DF">
      <w:pPr>
        <w:ind w:firstLine="708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Ukupni rashodi za zaposlene n</w:t>
      </w:r>
      <w:r w:rsidR="003B0D3F" w:rsidRPr="00471BCB">
        <w:rPr>
          <w:rFonts w:cstheme="minorHAnsi"/>
          <w:sz w:val="24"/>
          <w:szCs w:val="24"/>
        </w:rPr>
        <w:t>a AOP</w:t>
      </w:r>
      <w:r w:rsidR="00A330F9" w:rsidRPr="00471B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A330F9" w:rsidRPr="00471BCB">
        <w:rPr>
          <w:rFonts w:cstheme="minorHAnsi"/>
          <w:sz w:val="24"/>
          <w:szCs w:val="24"/>
        </w:rPr>
        <w:t>14</w:t>
      </w:r>
      <w:r w:rsidR="00B937D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)</w:t>
      </w:r>
      <w:r w:rsidR="00A330F9" w:rsidRPr="00471BCB">
        <w:rPr>
          <w:rFonts w:cstheme="minorHAnsi"/>
          <w:sz w:val="24"/>
          <w:szCs w:val="24"/>
        </w:rPr>
        <w:t xml:space="preserve"> poras</w:t>
      </w:r>
      <w:r w:rsidR="00903292" w:rsidRPr="00471BCB">
        <w:rPr>
          <w:rFonts w:cstheme="minorHAnsi"/>
          <w:sz w:val="24"/>
          <w:szCs w:val="24"/>
        </w:rPr>
        <w:t xml:space="preserve">li za </w:t>
      </w:r>
      <w:r w:rsidR="00B937DF">
        <w:rPr>
          <w:rFonts w:cstheme="minorHAnsi"/>
          <w:sz w:val="24"/>
          <w:szCs w:val="24"/>
        </w:rPr>
        <w:t>14,6</w:t>
      </w:r>
      <w:r w:rsidR="00A330F9" w:rsidRPr="00471BCB">
        <w:rPr>
          <w:rFonts w:cstheme="minorHAnsi"/>
          <w:sz w:val="24"/>
          <w:szCs w:val="24"/>
        </w:rPr>
        <w:t>% u odnosu na prošlu godinu</w:t>
      </w:r>
      <w:r w:rsidR="003B0D3F" w:rsidRPr="00471BCB">
        <w:rPr>
          <w:rFonts w:cstheme="minorHAnsi"/>
          <w:sz w:val="24"/>
          <w:szCs w:val="24"/>
        </w:rPr>
        <w:t xml:space="preserve">. Pa slijedom detaljno svaki rashod  </w:t>
      </w:r>
      <w:r w:rsidR="00A330F9" w:rsidRPr="00471BCB">
        <w:rPr>
          <w:rFonts w:cstheme="minorHAnsi"/>
          <w:sz w:val="24"/>
          <w:szCs w:val="24"/>
        </w:rPr>
        <w:t>-bruto p</w:t>
      </w:r>
      <w:r w:rsidR="00903292" w:rsidRPr="00471BCB">
        <w:rPr>
          <w:rFonts w:cstheme="minorHAnsi"/>
          <w:sz w:val="24"/>
          <w:szCs w:val="24"/>
        </w:rPr>
        <w:t xml:space="preserve">laće (AOP </w:t>
      </w:r>
      <w:r w:rsidR="00B937DF">
        <w:rPr>
          <w:rFonts w:cstheme="minorHAnsi"/>
          <w:sz w:val="24"/>
          <w:szCs w:val="24"/>
        </w:rPr>
        <w:t>148</w:t>
      </w:r>
      <w:r w:rsidR="00903292" w:rsidRPr="00471BCB">
        <w:rPr>
          <w:rFonts w:cstheme="minorHAnsi"/>
          <w:sz w:val="24"/>
          <w:szCs w:val="24"/>
        </w:rPr>
        <w:t xml:space="preserve">) povećale su se </w:t>
      </w:r>
      <w:r w:rsidR="00B937DF">
        <w:rPr>
          <w:rFonts w:cstheme="minorHAnsi"/>
          <w:sz w:val="24"/>
          <w:szCs w:val="24"/>
        </w:rPr>
        <w:t>13,9</w:t>
      </w:r>
      <w:r w:rsidR="00A330F9" w:rsidRPr="00471BCB">
        <w:rPr>
          <w:rFonts w:cstheme="minorHAnsi"/>
          <w:sz w:val="24"/>
          <w:szCs w:val="24"/>
        </w:rPr>
        <w:t>%, , plaće za prekovremeni rad</w:t>
      </w:r>
      <w:r w:rsidR="00903292" w:rsidRPr="00471BCB">
        <w:rPr>
          <w:rFonts w:cstheme="minorHAnsi"/>
          <w:sz w:val="24"/>
          <w:szCs w:val="24"/>
        </w:rPr>
        <w:t xml:space="preserve"> (AOP 15</w:t>
      </w:r>
      <w:r w:rsidR="00B937DF">
        <w:rPr>
          <w:rFonts w:cstheme="minorHAnsi"/>
          <w:sz w:val="24"/>
          <w:szCs w:val="24"/>
        </w:rPr>
        <w:t>1</w:t>
      </w:r>
      <w:r w:rsidR="00903292" w:rsidRPr="00471BCB">
        <w:rPr>
          <w:rFonts w:cstheme="minorHAnsi"/>
          <w:sz w:val="24"/>
          <w:szCs w:val="24"/>
        </w:rPr>
        <w:t xml:space="preserve">)povećale su se za </w:t>
      </w:r>
      <w:r w:rsidR="00B937DF">
        <w:rPr>
          <w:rFonts w:cstheme="minorHAnsi"/>
          <w:sz w:val="24"/>
          <w:szCs w:val="24"/>
        </w:rPr>
        <w:t>89,6</w:t>
      </w:r>
      <w:r w:rsidR="00A330F9" w:rsidRPr="00471BCB">
        <w:rPr>
          <w:rFonts w:cstheme="minorHAnsi"/>
          <w:sz w:val="24"/>
          <w:szCs w:val="24"/>
        </w:rPr>
        <w:t>%, ostali rashodi za zaposlene (AOP 15</w:t>
      </w:r>
      <w:r w:rsidR="00B937DF">
        <w:rPr>
          <w:rFonts w:cstheme="minorHAnsi"/>
          <w:sz w:val="24"/>
          <w:szCs w:val="24"/>
        </w:rPr>
        <w:t>3</w:t>
      </w:r>
      <w:r w:rsidR="00A330F9" w:rsidRPr="00471BCB">
        <w:rPr>
          <w:rFonts w:cstheme="minorHAnsi"/>
          <w:sz w:val="24"/>
          <w:szCs w:val="24"/>
        </w:rPr>
        <w:t xml:space="preserve">) </w:t>
      </w:r>
      <w:r w:rsidR="00B937DF">
        <w:rPr>
          <w:rFonts w:cstheme="minorHAnsi"/>
          <w:sz w:val="24"/>
          <w:szCs w:val="24"/>
        </w:rPr>
        <w:t xml:space="preserve">povećali su se </w:t>
      </w:r>
      <w:r w:rsidR="00A330F9" w:rsidRPr="00471BCB">
        <w:rPr>
          <w:rFonts w:cstheme="minorHAnsi"/>
          <w:sz w:val="24"/>
          <w:szCs w:val="24"/>
        </w:rPr>
        <w:t xml:space="preserve"> za </w:t>
      </w:r>
      <w:r w:rsidR="00B937DF">
        <w:rPr>
          <w:rFonts w:cstheme="minorHAnsi"/>
          <w:sz w:val="24"/>
          <w:szCs w:val="24"/>
        </w:rPr>
        <w:t>49,1</w:t>
      </w:r>
      <w:r w:rsidR="00A330F9" w:rsidRPr="00471BCB">
        <w:rPr>
          <w:rFonts w:cstheme="minorHAnsi"/>
          <w:sz w:val="24"/>
          <w:szCs w:val="24"/>
        </w:rPr>
        <w:t>%, doprinosi na plaće ((AOP 15</w:t>
      </w:r>
      <w:r w:rsidR="00B937DF">
        <w:rPr>
          <w:rFonts w:cstheme="minorHAnsi"/>
          <w:sz w:val="24"/>
          <w:szCs w:val="24"/>
        </w:rPr>
        <w:t>4</w:t>
      </w:r>
      <w:r w:rsidR="00A330F9" w:rsidRPr="00471BCB">
        <w:rPr>
          <w:rFonts w:cstheme="minorHAnsi"/>
          <w:sz w:val="24"/>
          <w:szCs w:val="24"/>
        </w:rPr>
        <w:t xml:space="preserve">) su se povećali za </w:t>
      </w:r>
      <w:r w:rsidR="00903292" w:rsidRPr="00471BCB">
        <w:rPr>
          <w:rFonts w:cstheme="minorHAnsi"/>
          <w:sz w:val="24"/>
          <w:szCs w:val="24"/>
        </w:rPr>
        <w:t>1</w:t>
      </w:r>
      <w:r w:rsidR="00B937DF">
        <w:rPr>
          <w:rFonts w:cstheme="minorHAnsi"/>
          <w:sz w:val="24"/>
          <w:szCs w:val="24"/>
        </w:rPr>
        <w:t>3,3</w:t>
      </w:r>
      <w:r w:rsidR="00A330F9" w:rsidRPr="00471BCB">
        <w:rPr>
          <w:rFonts w:cstheme="minorHAnsi"/>
          <w:sz w:val="24"/>
          <w:szCs w:val="24"/>
        </w:rPr>
        <w:t>%, doprinosi za mirovinsko (AOP 15</w:t>
      </w:r>
      <w:r w:rsidR="00B937DF">
        <w:rPr>
          <w:rFonts w:cstheme="minorHAnsi"/>
          <w:sz w:val="24"/>
          <w:szCs w:val="24"/>
        </w:rPr>
        <w:t>5</w:t>
      </w:r>
      <w:r w:rsidR="00A330F9" w:rsidRPr="00471BCB">
        <w:rPr>
          <w:rFonts w:cstheme="minorHAnsi"/>
          <w:sz w:val="24"/>
          <w:szCs w:val="24"/>
        </w:rPr>
        <w:t xml:space="preserve">) su se povećali za </w:t>
      </w:r>
      <w:r w:rsidR="00B937DF">
        <w:rPr>
          <w:rFonts w:cstheme="minorHAnsi"/>
          <w:sz w:val="24"/>
          <w:szCs w:val="24"/>
        </w:rPr>
        <w:t>13,9</w:t>
      </w:r>
      <w:r w:rsidR="00A330F9" w:rsidRPr="00471BCB">
        <w:rPr>
          <w:rFonts w:cstheme="minorHAnsi"/>
          <w:sz w:val="24"/>
          <w:szCs w:val="24"/>
        </w:rPr>
        <w:t>%,  doprinosi za</w:t>
      </w:r>
      <w:r w:rsidR="006A61FE" w:rsidRPr="00471BCB">
        <w:rPr>
          <w:rFonts w:cstheme="minorHAnsi"/>
          <w:sz w:val="24"/>
          <w:szCs w:val="24"/>
        </w:rPr>
        <w:t xml:space="preserve"> obvezno zdravstveno o</w:t>
      </w:r>
      <w:r w:rsidR="00A330F9" w:rsidRPr="00471BCB">
        <w:rPr>
          <w:rFonts w:cstheme="minorHAnsi"/>
          <w:sz w:val="24"/>
          <w:szCs w:val="24"/>
        </w:rPr>
        <w:t>siguranje (AOP 15</w:t>
      </w:r>
      <w:r w:rsidR="00B937DF">
        <w:rPr>
          <w:rFonts w:cstheme="minorHAnsi"/>
          <w:sz w:val="24"/>
          <w:szCs w:val="24"/>
        </w:rPr>
        <w:t>6</w:t>
      </w:r>
      <w:r w:rsidR="00903292" w:rsidRPr="00471BCB">
        <w:rPr>
          <w:rFonts w:cstheme="minorHAnsi"/>
          <w:sz w:val="24"/>
          <w:szCs w:val="24"/>
        </w:rPr>
        <w:t xml:space="preserve"> </w:t>
      </w:r>
      <w:r w:rsidR="00A330F9" w:rsidRPr="00471BCB">
        <w:rPr>
          <w:rFonts w:cstheme="minorHAnsi"/>
          <w:sz w:val="24"/>
          <w:szCs w:val="24"/>
        </w:rPr>
        <w:t>)</w:t>
      </w:r>
      <w:r w:rsidR="00903292" w:rsidRPr="00471BCB">
        <w:rPr>
          <w:rFonts w:cstheme="minorHAnsi"/>
          <w:sz w:val="24"/>
          <w:szCs w:val="24"/>
        </w:rPr>
        <w:t xml:space="preserve"> povećali su se za </w:t>
      </w:r>
      <w:r w:rsidR="00B937DF">
        <w:rPr>
          <w:rFonts w:cstheme="minorHAnsi"/>
          <w:sz w:val="24"/>
          <w:szCs w:val="24"/>
        </w:rPr>
        <w:t>12,5</w:t>
      </w:r>
      <w:r w:rsidR="00903292" w:rsidRPr="00471BCB">
        <w:rPr>
          <w:rFonts w:cstheme="minorHAnsi"/>
          <w:sz w:val="24"/>
          <w:szCs w:val="24"/>
        </w:rPr>
        <w:t>%</w:t>
      </w:r>
      <w:r w:rsidR="00A330F9" w:rsidRPr="00471BCB">
        <w:rPr>
          <w:rFonts w:cstheme="minorHAnsi"/>
          <w:sz w:val="24"/>
          <w:szCs w:val="24"/>
        </w:rPr>
        <w:t>,</w:t>
      </w:r>
      <w:r w:rsidR="003B0D3F" w:rsidRPr="00471BCB">
        <w:rPr>
          <w:rFonts w:cstheme="minorHAnsi"/>
          <w:sz w:val="24"/>
          <w:szCs w:val="24"/>
        </w:rPr>
        <w:t xml:space="preserve">a sve </w:t>
      </w:r>
      <w:r w:rsidR="00A330F9" w:rsidRPr="00471BCB">
        <w:rPr>
          <w:rFonts w:cstheme="minorHAnsi"/>
          <w:sz w:val="24"/>
          <w:szCs w:val="24"/>
        </w:rPr>
        <w:t xml:space="preserve"> </w:t>
      </w:r>
      <w:r w:rsidR="006A61FE" w:rsidRPr="00471BCB">
        <w:rPr>
          <w:rFonts w:cstheme="minorHAnsi"/>
          <w:sz w:val="24"/>
          <w:szCs w:val="24"/>
        </w:rPr>
        <w:t xml:space="preserve">temeljem povećanja plaće sukladno kolektivnom ugovoru i </w:t>
      </w:r>
      <w:r w:rsidR="006A61FE" w:rsidRPr="00866F94">
        <w:rPr>
          <w:rFonts w:cstheme="minorHAnsi"/>
          <w:color w:val="000000" w:themeColor="text1"/>
          <w:sz w:val="24"/>
          <w:szCs w:val="24"/>
        </w:rPr>
        <w:t>novim zapošljavanjem djelatnika što je vidljivo na AOP643 i AOP645</w:t>
      </w:r>
      <w:r w:rsidR="00866F94">
        <w:rPr>
          <w:rFonts w:cstheme="minorHAnsi"/>
          <w:color w:val="000000" w:themeColor="text1"/>
          <w:sz w:val="24"/>
          <w:szCs w:val="24"/>
        </w:rPr>
        <w:t>.</w:t>
      </w:r>
    </w:p>
    <w:p w:rsidR="00B937DF" w:rsidRDefault="00B937DF" w:rsidP="00B937DF">
      <w:pPr>
        <w:ind w:firstLine="708"/>
      </w:pPr>
      <w:r>
        <w:t xml:space="preserve">Materijalni rashodi </w:t>
      </w:r>
      <w:r w:rsidRPr="006A61FE">
        <w:t xml:space="preserve">AOP </w:t>
      </w:r>
      <w:r>
        <w:t>(158</w:t>
      </w:r>
      <w:r w:rsidRPr="006A61FE">
        <w:t xml:space="preserve">) </w:t>
      </w:r>
      <w:r>
        <w:t>povećali su se za 22,9%;</w:t>
      </w:r>
    </w:p>
    <w:p w:rsidR="00B937DF" w:rsidRDefault="00B937DF" w:rsidP="00B937DF">
      <w:r w:rsidRPr="006A61FE">
        <w:t xml:space="preserve"> </w:t>
      </w:r>
      <w:r>
        <w:tab/>
        <w:t>N</w:t>
      </w:r>
      <w:r w:rsidRPr="006A61FE">
        <w:t>aknade troškova za</w:t>
      </w:r>
      <w:r>
        <w:t xml:space="preserve">poslenima </w:t>
      </w:r>
      <w:r w:rsidRPr="006A61FE">
        <w:t xml:space="preserve">AOP </w:t>
      </w:r>
      <w:r>
        <w:t>(159</w:t>
      </w:r>
      <w:r w:rsidRPr="006A61FE">
        <w:t>)</w:t>
      </w:r>
      <w:r>
        <w:t xml:space="preserve"> povećani su 18,3% ; troškovi službenih putovanja AOP (160) povećani su za 10,1%, naknade za prijevoz AOP(161) povećani su 23,5%, Stručno usavršavanje zaposlenika AOP (162) povećano je za 1% , što sve možemo pripisati  epidemiološkim razlozima i mjerama u prethodnoj godini.</w:t>
      </w:r>
    </w:p>
    <w:p w:rsidR="00B937DF" w:rsidRDefault="00B937DF" w:rsidP="00B937DF">
      <w:pPr>
        <w:ind w:firstLine="708"/>
      </w:pPr>
      <w:r>
        <w:t xml:space="preserve">Rashodi za materijal i energiju AOP (164) ostvareni u iznosu od </w:t>
      </w:r>
      <w:r w:rsidR="00102D9E">
        <w:t>317.731</w:t>
      </w:r>
      <w:r>
        <w:t xml:space="preserve"> HRK bilježe rast od </w:t>
      </w:r>
      <w:r w:rsidR="00102D9E">
        <w:t>36,3</w:t>
      </w:r>
      <w:r>
        <w:t xml:space="preserve">% u odnosu na prethodnu godinu; troškovi uredskog materijala AOP (165) bilježe rast od </w:t>
      </w:r>
      <w:r w:rsidR="00102D9E">
        <w:t>9,4</w:t>
      </w:r>
      <w:r>
        <w:t>%;</w:t>
      </w:r>
      <w:r w:rsidR="00102D9E">
        <w:t xml:space="preserve"> Materijal i sirovin</w:t>
      </w:r>
      <w:r w:rsidR="007F37D0">
        <w:t>e</w:t>
      </w:r>
      <w:r w:rsidR="00102D9E">
        <w:t xml:space="preserve"> AOP (166) ostvareni u iznosu</w:t>
      </w:r>
      <w:r w:rsidR="007F37D0">
        <w:t xml:space="preserve"> od 10.551 HRK</w:t>
      </w:r>
      <w:r w:rsidR="00102D9E">
        <w:t xml:space="preserve"> bilježe rast od 82,5%</w:t>
      </w:r>
      <w:r w:rsidR="007F37D0">
        <w:t xml:space="preserve">; </w:t>
      </w:r>
      <w:r>
        <w:t xml:space="preserve"> Energija AOP (167) bilježi rast od </w:t>
      </w:r>
      <w:r w:rsidR="00102D9E">
        <w:t>58,7</w:t>
      </w:r>
      <w:r>
        <w:t xml:space="preserve">%; materijal za tekuće investicijsko održavanje AOP (168) ostvaren u iznosu od </w:t>
      </w:r>
      <w:r w:rsidR="007F37D0">
        <w:t>24.042</w:t>
      </w:r>
      <w:r>
        <w:t xml:space="preserve"> HRK bilježi rast o </w:t>
      </w:r>
      <w:r w:rsidR="007F37D0">
        <w:t>265,4</w:t>
      </w:r>
      <w:r>
        <w:t xml:space="preserve">%; troškovi službene, radne i zaštitne odjeće AOP (171) ostvareni u iznosu od </w:t>
      </w:r>
      <w:r w:rsidR="007F37D0">
        <w:t>3.328</w:t>
      </w:r>
      <w:r>
        <w:t xml:space="preserve"> HRK bilježe pad od </w:t>
      </w:r>
      <w:r w:rsidR="007F37D0">
        <w:t>39,7</w:t>
      </w:r>
      <w:r>
        <w:t>% u odnosu na prošlu godinu.</w:t>
      </w:r>
    </w:p>
    <w:p w:rsidR="00B937DF" w:rsidRDefault="00B937DF" w:rsidP="00B937DF">
      <w:r>
        <w:t xml:space="preserve">Povećanje predmetnih troškova prvenstveno se temelji na činjenici da je u prethodnoj godini s obzirom na epidemiološku situaciju Fakultet bio zatvoren. </w:t>
      </w:r>
      <w:r w:rsidR="00CE3845">
        <w:t>Također došlo je do poskupljenja režijskih troškova što je utjecalo na povećanje troškova.</w:t>
      </w:r>
    </w:p>
    <w:p w:rsidR="007F37D0" w:rsidRDefault="007F37D0" w:rsidP="007F37D0">
      <w:pPr>
        <w:ind w:firstLine="708"/>
      </w:pPr>
      <w:r>
        <w:t>Rashodi za usluge AOP (172) ostvareni u ukupnom iznosu od 3.205.432 HRK bilježe rast od 22,8 % u odnosu na prethodnu godinu; Usluge telefona, pošte i prijevoza AOP (173) bilježe rast od 2,9%; usluge tekućeg i investicijskog održavanja</w:t>
      </w:r>
      <w:r w:rsidR="00CE3845" w:rsidRPr="00CE3845">
        <w:t xml:space="preserve"> </w:t>
      </w:r>
      <w:r>
        <w:t xml:space="preserve">bilježe rast od </w:t>
      </w:r>
      <w:r w:rsidR="00A71BF8">
        <w:t>1,</w:t>
      </w:r>
      <w:r>
        <w:t>3</w:t>
      </w:r>
      <w:r w:rsidRPr="00CE3845">
        <w:rPr>
          <w:color w:val="000000" w:themeColor="text1"/>
        </w:rPr>
        <w:t xml:space="preserve">% </w:t>
      </w:r>
      <w:r w:rsidR="00CE3845" w:rsidRPr="00CE3845">
        <w:rPr>
          <w:color w:val="000000" w:themeColor="text1"/>
        </w:rPr>
        <w:t xml:space="preserve"> što nema značajan utjcaj na povećanje. Posebno se istiću </w:t>
      </w:r>
      <w:r w:rsidRPr="00CE3845">
        <w:rPr>
          <w:color w:val="000000" w:themeColor="text1"/>
        </w:rPr>
        <w:t>usluge promidžbe i informir</w:t>
      </w:r>
      <w:r w:rsidR="00A71BF8" w:rsidRPr="00CE3845">
        <w:rPr>
          <w:color w:val="000000" w:themeColor="text1"/>
        </w:rPr>
        <w:t>anja AOP (175) bilježe rast od 41,5</w:t>
      </w:r>
      <w:r w:rsidRPr="00CE3845">
        <w:rPr>
          <w:color w:val="000000" w:themeColor="text1"/>
        </w:rPr>
        <w:t>%</w:t>
      </w:r>
      <w:r w:rsidR="00A71BF8" w:rsidRPr="00CE3845">
        <w:rPr>
          <w:color w:val="000000" w:themeColor="text1"/>
        </w:rPr>
        <w:t xml:space="preserve"> radi</w:t>
      </w:r>
      <w:r w:rsidRPr="00CE3845">
        <w:rPr>
          <w:color w:val="000000" w:themeColor="text1"/>
        </w:rPr>
        <w:t xml:space="preserve"> raspisivanja potrebnih natječaja </w:t>
      </w:r>
      <w:r>
        <w:t xml:space="preserve">za zapošljavanje.,; Zdravstvene i veterinarske usluge AOP (178) ostvarene u iznosu od </w:t>
      </w:r>
      <w:r w:rsidR="00A71BF8">
        <w:t>60.750</w:t>
      </w:r>
      <w:r>
        <w:t xml:space="preserve"> HRK bilježe rast od </w:t>
      </w:r>
      <w:r w:rsidR="00A71BF8">
        <w:t>149</w:t>
      </w:r>
      <w:r>
        <w:t>%, povećanje se odnosi na troškove COVID testir</w:t>
      </w:r>
      <w:r w:rsidR="00CE3845">
        <w:t>anja djelatnika te na troškove p</w:t>
      </w:r>
      <w:r>
        <w:t>rojekta; Intelektualne i osobne usluge AOP (</w:t>
      </w:r>
      <w:r w:rsidR="00A71BF8">
        <w:t>179</w:t>
      </w:r>
      <w:r>
        <w:t xml:space="preserve">) ostvarene u iznosu od </w:t>
      </w:r>
      <w:r w:rsidR="00A71BF8">
        <w:t xml:space="preserve">2.237.471 </w:t>
      </w:r>
      <w:r>
        <w:t xml:space="preserve">HRK bilježe rast od </w:t>
      </w:r>
      <w:r w:rsidR="00A71BF8">
        <w:t>27,4</w:t>
      </w:r>
      <w:r>
        <w:t xml:space="preserve">% u odnosu na prethodnu godinu iz razloga što u 2020 godini nije bilo održavanja vježbi, osim toga  troškovi vanjske suradnje za 10 i 11 mjesec 2020 godine plaćeni su u 2021 godini, a došlo je i do povećanja troškova radi održavanja programa cjeloživotnog obrazovanja. Računalne usluge AOP (180) </w:t>
      </w:r>
      <w:r w:rsidR="00A71BF8">
        <w:t>smanjene su za 2,7%;</w:t>
      </w:r>
      <w:r>
        <w:t xml:space="preserve"> ostale usluge AOP (181) bilježe </w:t>
      </w:r>
      <w:r w:rsidR="00A71BF8">
        <w:t>pad</w:t>
      </w:r>
      <w:r>
        <w:t xml:space="preserve"> od </w:t>
      </w:r>
      <w:r w:rsidR="00A71BF8">
        <w:t>16,4%.</w:t>
      </w:r>
    </w:p>
    <w:p w:rsidR="00A71BF8" w:rsidRDefault="00A71BF8" w:rsidP="00A71BF8">
      <w:pPr>
        <w:ind w:firstLine="708"/>
      </w:pPr>
      <w:r>
        <w:t>Ostali nespomenuti troškovi poslovanja AOP (183) bilježe rast od 5,4% u odnosu na prethodnu godinu a odnose se na premije osiguranja AOP (185), ostvarene na razini prošle godine; troškove reprezentacije AOP (186) ostvareni u iznosu od 22.867 HRK bilježe rast od 1,9%;  Pristojbe i naknade AOP (188) smanjene za 8,3%. Povećanje je zabilježeno na troškovima za članarine i norme AOP (187) ostvareno u iz</w:t>
      </w:r>
      <w:r w:rsidR="001B5E9D">
        <w:t>nosu od 2.018 HRK uz povećanje o</w:t>
      </w:r>
      <w:r>
        <w:t xml:space="preserve">d 86,5% u odnosu na prethodnu godinu te ostalih nespomenutih rashoda AOP (190) od </w:t>
      </w:r>
      <w:r w:rsidR="001B5E9D">
        <w:t>243</w:t>
      </w:r>
      <w:r>
        <w:t>%  poslovanja ostvarenih u iznosu od 2.090 HRK.</w:t>
      </w:r>
    </w:p>
    <w:p w:rsidR="001B5E9D" w:rsidRDefault="001B5E9D" w:rsidP="001B5E9D">
      <w:pPr>
        <w:ind w:firstLine="708"/>
      </w:pPr>
      <w:r>
        <w:t xml:space="preserve">Financijski rashodi AOP (191) ostvareni u iznosu od 12.005 HRK  bilježe rast od 21,4% u odnosu na isto razdoblje prethodne godine a odnose se na bankarske usluge i usluge platnog prometa  AOP (205) koje bilježe rast od 6%;  dok negativne tečajne razlike osvarene u iznosu od 105 HRK AOP (207)  bilježe rast od 9,4% u odnosu na prethodnu godinu. Do povećanja financijskih rashoda došlo je prvenstveno radi ostvarenja zateznih kamata AOP (208) u iznosu od 1.522 HRK a koje se odnose na </w:t>
      </w:r>
      <w:r w:rsidR="008D45D4">
        <w:t>isplate po sudskoj presudi.</w:t>
      </w:r>
    </w:p>
    <w:p w:rsidR="008D45D4" w:rsidRPr="000758B1" w:rsidRDefault="008D45D4" w:rsidP="008D45D4">
      <w:pPr>
        <w:ind w:firstLine="708"/>
      </w:pPr>
      <w:r w:rsidRPr="000758B1">
        <w:t>Na AOP</w:t>
      </w:r>
      <w:r>
        <w:t xml:space="preserve"> (219) ostvaren je iznos od 81.337</w:t>
      </w:r>
      <w:r w:rsidRPr="00F72A86">
        <w:t xml:space="preserve"> HRK i odnosi se na izdvajanje 3% od školarina</w:t>
      </w:r>
      <w:r>
        <w:rPr>
          <w:color w:val="FF0000"/>
        </w:rPr>
        <w:t xml:space="preserve"> </w:t>
      </w:r>
      <w:r>
        <w:t xml:space="preserve">za Sveučilište AOP (243). Isti trošak  nije ostvaren u prethodnom razdoblju sukladno  zakonskim promjenama od 01.01.2021.. </w:t>
      </w:r>
      <w:r w:rsidRPr="000758B1">
        <w:t xml:space="preserve"> </w:t>
      </w:r>
      <w:r>
        <w:t xml:space="preserve">                                                                                                                                                    </w:t>
      </w:r>
      <w:r w:rsidRPr="000758B1">
        <w:t xml:space="preserve">Naknade građanima i kućanstvima na temelju osiguranja na AOP </w:t>
      </w:r>
      <w:r>
        <w:t>(247) smanjile su se za 33,1% iz razloga što je u ovoj godini plaćeno školovanje smo za jednog djelatnika.</w:t>
      </w:r>
    </w:p>
    <w:p w:rsidR="0073503D" w:rsidRPr="00471BCB" w:rsidRDefault="0073503D" w:rsidP="00A330F9">
      <w:pPr>
        <w:rPr>
          <w:rFonts w:cstheme="minorHAnsi"/>
          <w:sz w:val="24"/>
          <w:szCs w:val="24"/>
        </w:rPr>
      </w:pPr>
    </w:p>
    <w:p w:rsidR="00D845D6" w:rsidRDefault="00CB17D5" w:rsidP="00A330F9">
      <w:pPr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Višak prihoda pos</w:t>
      </w:r>
      <w:r w:rsidR="000758B1" w:rsidRPr="00471BCB">
        <w:rPr>
          <w:rFonts w:cstheme="minorHAnsi"/>
          <w:sz w:val="24"/>
          <w:szCs w:val="24"/>
        </w:rPr>
        <w:t xml:space="preserve">lovanja na AOP </w:t>
      </w:r>
      <w:r w:rsidR="008D45D4">
        <w:rPr>
          <w:rFonts w:cstheme="minorHAnsi"/>
          <w:sz w:val="24"/>
          <w:szCs w:val="24"/>
        </w:rPr>
        <w:t>(</w:t>
      </w:r>
      <w:r w:rsidR="000758B1" w:rsidRPr="00471BCB">
        <w:rPr>
          <w:rFonts w:cstheme="minorHAnsi"/>
          <w:sz w:val="24"/>
          <w:szCs w:val="24"/>
        </w:rPr>
        <w:t>28</w:t>
      </w:r>
      <w:r w:rsidR="008D45D4">
        <w:rPr>
          <w:rFonts w:cstheme="minorHAnsi"/>
          <w:sz w:val="24"/>
          <w:szCs w:val="24"/>
        </w:rPr>
        <w:t>5) ostvaren u iznosu od 193.52</w:t>
      </w:r>
      <w:r w:rsidR="00E01B28">
        <w:rPr>
          <w:rFonts w:cstheme="minorHAnsi"/>
          <w:sz w:val="24"/>
          <w:szCs w:val="24"/>
        </w:rPr>
        <w:t>1</w:t>
      </w:r>
      <w:r w:rsidR="008D45D4">
        <w:rPr>
          <w:rFonts w:cstheme="minorHAnsi"/>
          <w:sz w:val="24"/>
          <w:szCs w:val="24"/>
        </w:rPr>
        <w:t xml:space="preserve"> HRK čini tek 9% viška ostvarenog u prethodnom razdoblju.  R</w:t>
      </w:r>
      <w:r w:rsidR="00F06CDE" w:rsidRPr="00471BCB">
        <w:rPr>
          <w:rFonts w:cstheme="minorHAnsi"/>
          <w:sz w:val="24"/>
          <w:szCs w:val="24"/>
        </w:rPr>
        <w:t>azlog tom</w:t>
      </w:r>
      <w:r w:rsidR="000758B1" w:rsidRPr="00471BCB">
        <w:rPr>
          <w:rFonts w:cstheme="minorHAnsi"/>
          <w:sz w:val="24"/>
          <w:szCs w:val="24"/>
        </w:rPr>
        <w:t>e</w:t>
      </w:r>
      <w:r w:rsidR="00913B13" w:rsidRPr="00471BCB">
        <w:rPr>
          <w:rFonts w:cstheme="minorHAnsi"/>
          <w:sz w:val="24"/>
          <w:szCs w:val="24"/>
        </w:rPr>
        <w:t xml:space="preserve"> su povećani </w:t>
      </w:r>
      <w:r w:rsidR="008D45D4">
        <w:rPr>
          <w:rFonts w:cstheme="minorHAnsi"/>
          <w:sz w:val="24"/>
          <w:szCs w:val="24"/>
        </w:rPr>
        <w:t xml:space="preserve">ukupni rashodi za 17,1% </w:t>
      </w:r>
      <w:r w:rsidR="00913B13" w:rsidRPr="00471BCB">
        <w:rPr>
          <w:rFonts w:cstheme="minorHAnsi"/>
          <w:sz w:val="24"/>
          <w:szCs w:val="24"/>
        </w:rPr>
        <w:t xml:space="preserve">dok su </w:t>
      </w:r>
      <w:r w:rsidR="008D45D4">
        <w:rPr>
          <w:rFonts w:cstheme="minorHAnsi"/>
          <w:sz w:val="24"/>
          <w:szCs w:val="24"/>
        </w:rPr>
        <w:t xml:space="preserve">prihodi </w:t>
      </w:r>
      <w:r w:rsidR="00913B13" w:rsidRPr="00471BCB">
        <w:rPr>
          <w:rFonts w:cstheme="minorHAnsi"/>
          <w:sz w:val="24"/>
          <w:szCs w:val="24"/>
        </w:rPr>
        <w:t xml:space="preserve">ostali </w:t>
      </w:r>
      <w:r w:rsidR="008D45D4">
        <w:rPr>
          <w:rFonts w:cstheme="minorHAnsi"/>
          <w:sz w:val="24"/>
          <w:szCs w:val="24"/>
        </w:rPr>
        <w:t xml:space="preserve">gotovo </w:t>
      </w:r>
      <w:r w:rsidR="00913B13" w:rsidRPr="00471BCB">
        <w:rPr>
          <w:rFonts w:cstheme="minorHAnsi"/>
          <w:sz w:val="24"/>
          <w:szCs w:val="24"/>
        </w:rPr>
        <w:t>na istoj razini kao</w:t>
      </w:r>
      <w:r w:rsidR="000758B1" w:rsidRPr="00471BCB">
        <w:rPr>
          <w:rFonts w:cstheme="minorHAnsi"/>
          <w:sz w:val="24"/>
          <w:szCs w:val="24"/>
        </w:rPr>
        <w:t xml:space="preserve"> proteklom razdoblju</w:t>
      </w:r>
      <w:r w:rsidR="008D45D4">
        <w:rPr>
          <w:rFonts w:cstheme="minorHAnsi"/>
          <w:sz w:val="24"/>
          <w:szCs w:val="24"/>
        </w:rPr>
        <w:t xml:space="preserve"> uz povećanje od smo 1,7%</w:t>
      </w:r>
      <w:r w:rsidR="000758B1" w:rsidRPr="00471BCB">
        <w:rPr>
          <w:rFonts w:cstheme="minorHAnsi"/>
          <w:sz w:val="24"/>
          <w:szCs w:val="24"/>
        </w:rPr>
        <w:t xml:space="preserve">. </w:t>
      </w:r>
    </w:p>
    <w:p w:rsidR="009B4316" w:rsidRDefault="000758B1" w:rsidP="00A330F9">
      <w:pPr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 xml:space="preserve">Preneseni </w:t>
      </w:r>
      <w:r w:rsidR="00CB17D5" w:rsidRPr="00471BCB">
        <w:rPr>
          <w:rFonts w:cstheme="minorHAnsi"/>
          <w:sz w:val="24"/>
          <w:szCs w:val="24"/>
        </w:rPr>
        <w:t xml:space="preserve"> višak prihoda poslovanja na AOP</w:t>
      </w:r>
      <w:r w:rsidR="00F64648" w:rsidRPr="00471BCB">
        <w:rPr>
          <w:rFonts w:cstheme="minorHAnsi"/>
          <w:sz w:val="24"/>
          <w:szCs w:val="24"/>
        </w:rPr>
        <w:t xml:space="preserve"> </w:t>
      </w:r>
      <w:r w:rsidR="004827E3">
        <w:rPr>
          <w:rFonts w:cstheme="minorHAnsi"/>
          <w:sz w:val="24"/>
          <w:szCs w:val="24"/>
        </w:rPr>
        <w:t>(</w:t>
      </w:r>
      <w:r w:rsidR="00CB17D5" w:rsidRPr="00471BCB">
        <w:rPr>
          <w:rFonts w:cstheme="minorHAnsi"/>
          <w:sz w:val="24"/>
          <w:szCs w:val="24"/>
        </w:rPr>
        <w:t>28</w:t>
      </w:r>
      <w:r w:rsidR="004827E3">
        <w:rPr>
          <w:rFonts w:cstheme="minorHAnsi"/>
          <w:sz w:val="24"/>
          <w:szCs w:val="24"/>
        </w:rPr>
        <w:t>7)</w:t>
      </w:r>
      <w:r w:rsidR="00CB17D5" w:rsidRPr="00471BCB">
        <w:rPr>
          <w:rFonts w:cstheme="minorHAnsi"/>
          <w:sz w:val="24"/>
          <w:szCs w:val="24"/>
        </w:rPr>
        <w:t xml:space="preserve"> </w:t>
      </w:r>
      <w:r w:rsidR="004827E3">
        <w:rPr>
          <w:rFonts w:cstheme="minorHAnsi"/>
          <w:sz w:val="24"/>
          <w:szCs w:val="24"/>
        </w:rPr>
        <w:t>veći je za 288,7%</w:t>
      </w:r>
      <w:r w:rsidR="00CB17D5" w:rsidRPr="00471BCB">
        <w:rPr>
          <w:rFonts w:cstheme="minorHAnsi"/>
          <w:sz w:val="24"/>
          <w:szCs w:val="24"/>
        </w:rPr>
        <w:t>,</w:t>
      </w:r>
      <w:r w:rsidR="004827E3">
        <w:rPr>
          <w:rFonts w:cstheme="minorHAnsi"/>
          <w:sz w:val="24"/>
          <w:szCs w:val="24"/>
        </w:rPr>
        <w:t xml:space="preserve"> </w:t>
      </w:r>
      <w:r w:rsidR="009B4316">
        <w:t>radi kumuliranog dijela uplaćenih školarina proteklih godina</w:t>
      </w:r>
      <w:r w:rsidR="009B4316">
        <w:rPr>
          <w:rFonts w:cstheme="minorHAnsi"/>
          <w:sz w:val="24"/>
          <w:szCs w:val="24"/>
        </w:rPr>
        <w:t>.</w:t>
      </w:r>
    </w:p>
    <w:p w:rsidR="009B4316" w:rsidRPr="008042A5" w:rsidRDefault="009B4316" w:rsidP="009B4316">
      <w:pPr>
        <w:rPr>
          <w:color w:val="000000" w:themeColor="text1"/>
        </w:rPr>
      </w:pPr>
      <w:r w:rsidRPr="00F72A86">
        <w:t xml:space="preserve">Obračunati prihod poslovanja - nenaplaćeni na AOP </w:t>
      </w:r>
      <w:r>
        <w:t>(</w:t>
      </w:r>
      <w:r w:rsidRPr="00F72A86">
        <w:t>289</w:t>
      </w:r>
      <w:r>
        <w:t>)</w:t>
      </w:r>
      <w:r w:rsidRPr="00F72A86">
        <w:t xml:space="preserve"> </w:t>
      </w:r>
      <w:r w:rsidR="000026F6">
        <w:t xml:space="preserve">ostvaren u iznosu od 253.685 HRK, </w:t>
      </w:r>
      <w:r>
        <w:t>manji je za 27,4%</w:t>
      </w:r>
      <w:r w:rsidRPr="00F72A86">
        <w:t xml:space="preserve">  radi dinamike kod upisa studenata u </w:t>
      </w:r>
      <w:r w:rsidRPr="008042A5">
        <w:rPr>
          <w:color w:val="000000" w:themeColor="text1"/>
        </w:rPr>
        <w:t>više godine te omogućavanju studentima da školarine uplate do kraja godine.</w:t>
      </w:r>
      <w:r w:rsidR="008042A5">
        <w:rPr>
          <w:color w:val="000000" w:themeColor="text1"/>
        </w:rPr>
        <w:t>Obavještavanjem studenata ranije o pravovremenoj uplati utjecalo je na smanjena nenaplaćena potraživanja.</w:t>
      </w:r>
    </w:p>
    <w:p w:rsidR="009B4316" w:rsidRPr="00F72A86" w:rsidRDefault="009B4316" w:rsidP="009B4316">
      <w:r w:rsidRPr="00F72A86">
        <w:t xml:space="preserve">Obračunati prihod od prodaje proizvoda i robe i pruženih usluga – nenaplaćeni AOP 290 ostvaren je u iznosu od </w:t>
      </w:r>
      <w:r>
        <w:t>39.856</w:t>
      </w:r>
      <w:r w:rsidRPr="00F72A86">
        <w:t xml:space="preserve"> HRK a odnosi se na obračunate školarine po programima Stoma i Briđing gdje se </w:t>
      </w:r>
      <w:r w:rsidRPr="008042A5">
        <w:rPr>
          <w:color w:val="000000" w:themeColor="text1"/>
        </w:rPr>
        <w:t>studentima izašlo u susret radi trenutne situacije te im je dana mogućnost uplate do kraja godine te m</w:t>
      </w:r>
      <w:r w:rsidRPr="00F72A86">
        <w:t>anjim djelom potraživanje za najam.</w:t>
      </w:r>
    </w:p>
    <w:p w:rsidR="009B4316" w:rsidRDefault="009B4316" w:rsidP="00A330F9">
      <w:pPr>
        <w:rPr>
          <w:rFonts w:cstheme="minorHAnsi"/>
          <w:sz w:val="24"/>
          <w:szCs w:val="24"/>
        </w:rPr>
      </w:pPr>
    </w:p>
    <w:p w:rsidR="000026F6" w:rsidRDefault="000026F6" w:rsidP="000026F6">
      <w:r w:rsidRPr="0008579B">
        <w:t xml:space="preserve">Rashodi za nabavu </w:t>
      </w:r>
      <w:r>
        <w:t xml:space="preserve">nefinancijske imovine </w:t>
      </w:r>
      <w:r w:rsidRPr="0008579B">
        <w:t xml:space="preserve"> na AOP </w:t>
      </w:r>
      <w:r>
        <w:t>344 manji su za 46,4% u odnosu na prethodnu godinu; radi odluke Uprave da se ovogodišnja kapitalna ulaganja odgode  do normalizacije uvjeta poslovanja vezanih za COVID.</w:t>
      </w:r>
    </w:p>
    <w:p w:rsidR="000026F6" w:rsidRPr="008042A5" w:rsidRDefault="000026F6" w:rsidP="000026F6">
      <w:pPr>
        <w:rPr>
          <w:color w:val="000000" w:themeColor="text1"/>
        </w:rPr>
      </w:pPr>
      <w:r w:rsidRPr="008042A5">
        <w:rPr>
          <w:color w:val="000000" w:themeColor="text1"/>
        </w:rPr>
        <w:t xml:space="preserve">Na AOP (354) ostvareno je 48.960 HRK  a odnose se na </w:t>
      </w:r>
      <w:r w:rsidR="008042A5">
        <w:rPr>
          <w:color w:val="000000" w:themeColor="text1"/>
        </w:rPr>
        <w:t>pre</w:t>
      </w:r>
      <w:r w:rsidRPr="008042A5">
        <w:rPr>
          <w:color w:val="000000" w:themeColor="text1"/>
        </w:rPr>
        <w:t>uređenje predavaon</w:t>
      </w:r>
      <w:r w:rsidR="008042A5">
        <w:rPr>
          <w:color w:val="000000" w:themeColor="text1"/>
        </w:rPr>
        <w:t>ice 5</w:t>
      </w:r>
      <w:r w:rsidRPr="008042A5">
        <w:rPr>
          <w:color w:val="000000" w:themeColor="text1"/>
        </w:rPr>
        <w:t xml:space="preserve"> radi</w:t>
      </w:r>
      <w:r w:rsidR="008042A5">
        <w:rPr>
          <w:color w:val="000000" w:themeColor="text1"/>
        </w:rPr>
        <w:t xml:space="preserve"> boljeg iskorištavanja prostora, te uređenje ureda za 3 nova djelatnika.</w:t>
      </w:r>
    </w:p>
    <w:p w:rsidR="0008579B" w:rsidRDefault="0008579B" w:rsidP="00A330F9">
      <w:pPr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 xml:space="preserve">Na AOP </w:t>
      </w:r>
      <w:r w:rsidR="000026F6">
        <w:rPr>
          <w:rFonts w:cstheme="minorHAnsi"/>
          <w:sz w:val="24"/>
          <w:szCs w:val="24"/>
        </w:rPr>
        <w:t>(357)</w:t>
      </w:r>
      <w:r w:rsidRPr="00471BCB">
        <w:rPr>
          <w:rFonts w:cstheme="minorHAnsi"/>
          <w:sz w:val="24"/>
          <w:szCs w:val="24"/>
        </w:rPr>
        <w:t xml:space="preserve"> vidlj</w:t>
      </w:r>
      <w:r w:rsidR="00704B99" w:rsidRPr="00471BCB">
        <w:rPr>
          <w:rFonts w:cstheme="minorHAnsi"/>
          <w:sz w:val="24"/>
          <w:szCs w:val="24"/>
        </w:rPr>
        <w:t xml:space="preserve">ivo je znatno smanjenje, </w:t>
      </w:r>
      <w:r w:rsidR="000026F6">
        <w:rPr>
          <w:rFonts w:cstheme="minorHAnsi"/>
          <w:sz w:val="24"/>
          <w:szCs w:val="24"/>
        </w:rPr>
        <w:t xml:space="preserve">od 62,6% </w:t>
      </w:r>
      <w:r w:rsidR="00704B99" w:rsidRPr="00471BCB">
        <w:rPr>
          <w:rFonts w:cstheme="minorHAnsi"/>
          <w:sz w:val="24"/>
          <w:szCs w:val="24"/>
        </w:rPr>
        <w:t>jer je prošle godine opremljen kabinet</w:t>
      </w:r>
      <w:r w:rsidRPr="00471BCB">
        <w:rPr>
          <w:rFonts w:cstheme="minorHAnsi"/>
          <w:sz w:val="24"/>
          <w:szCs w:val="24"/>
        </w:rPr>
        <w:t xml:space="preserve"> za fizioterapiju,</w:t>
      </w:r>
      <w:r w:rsidR="00704B99" w:rsidRPr="00471BCB">
        <w:rPr>
          <w:rFonts w:cstheme="minorHAnsi"/>
          <w:sz w:val="24"/>
          <w:szCs w:val="24"/>
        </w:rPr>
        <w:t xml:space="preserve"> pa nije bilo potrebe za nova</w:t>
      </w:r>
      <w:r w:rsidRPr="00471BCB">
        <w:rPr>
          <w:rFonts w:cstheme="minorHAnsi"/>
          <w:sz w:val="24"/>
          <w:szCs w:val="24"/>
        </w:rPr>
        <w:t xml:space="preserve"> ulaganja.</w:t>
      </w:r>
    </w:p>
    <w:p w:rsidR="000026F6" w:rsidRDefault="00D24A8C" w:rsidP="00A330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AOP (377) a što se odnosi na nabavu novih knjiga takođe se bilježi smanjenje od 76,4%.</w:t>
      </w:r>
    </w:p>
    <w:p w:rsidR="00D24A8C" w:rsidRPr="00471BCB" w:rsidRDefault="00D24A8C" w:rsidP="00A330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Ostvaren je manjak prihoda od nefinancijske imovine AOP (402) u iznosu od 145.275 HRK što je za 46,4% manje nego u prethodnom razdoblju.</w:t>
      </w:r>
    </w:p>
    <w:p w:rsidR="0008579B" w:rsidRPr="00471BCB" w:rsidRDefault="00D24A8C" w:rsidP="00A330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Ukupni prihodi na AOP (406)</w:t>
      </w:r>
      <w:r w:rsidR="00BF2059" w:rsidRPr="00471B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veći </w:t>
      </w:r>
      <w:r w:rsidR="00BF2059" w:rsidRPr="00471BCB">
        <w:rPr>
          <w:rFonts w:cstheme="minorHAnsi"/>
          <w:sz w:val="24"/>
          <w:szCs w:val="24"/>
        </w:rPr>
        <w:t xml:space="preserve">su za </w:t>
      </w:r>
      <w:r>
        <w:rPr>
          <w:rFonts w:cstheme="minorHAnsi"/>
          <w:sz w:val="24"/>
          <w:szCs w:val="24"/>
        </w:rPr>
        <w:t>1,7</w:t>
      </w:r>
      <w:r w:rsidR="00BF2059" w:rsidRPr="00471BCB">
        <w:rPr>
          <w:rFonts w:cstheme="minorHAnsi"/>
          <w:sz w:val="24"/>
          <w:szCs w:val="24"/>
        </w:rPr>
        <w:t>%</w:t>
      </w:r>
      <w:r w:rsidR="0008579B" w:rsidRPr="00471BCB">
        <w:rPr>
          <w:rFonts w:cstheme="minorHAnsi"/>
          <w:sz w:val="24"/>
          <w:szCs w:val="24"/>
        </w:rPr>
        <w:t xml:space="preserve"> zbog novih projekata sa Sveučilišta i zbog povećanja plaća i Programskih ugovora koja pred</w:t>
      </w:r>
      <w:r w:rsidR="00704B99" w:rsidRPr="00471BCB">
        <w:rPr>
          <w:rFonts w:cstheme="minorHAnsi"/>
          <w:sz w:val="24"/>
          <w:szCs w:val="24"/>
        </w:rPr>
        <w:t>s</w:t>
      </w:r>
      <w:r w:rsidR="0008579B" w:rsidRPr="00471BCB">
        <w:rPr>
          <w:rFonts w:cstheme="minorHAnsi"/>
          <w:sz w:val="24"/>
          <w:szCs w:val="24"/>
        </w:rPr>
        <w:t>t</w:t>
      </w:r>
      <w:r w:rsidR="00704B99" w:rsidRPr="00471BCB">
        <w:rPr>
          <w:rFonts w:cstheme="minorHAnsi"/>
          <w:sz w:val="24"/>
          <w:szCs w:val="24"/>
        </w:rPr>
        <w:t>avljaju prihode iz Ministarstva znanosti i obrazovanja.</w:t>
      </w:r>
    </w:p>
    <w:p w:rsidR="00AC63AB" w:rsidRDefault="0008579B" w:rsidP="00A330F9">
      <w:pPr>
        <w:rPr>
          <w:rFonts w:cstheme="minorHAnsi"/>
          <w:sz w:val="24"/>
          <w:szCs w:val="24"/>
        </w:rPr>
      </w:pPr>
      <w:r w:rsidRPr="00471BCB">
        <w:rPr>
          <w:rFonts w:cstheme="minorHAnsi"/>
          <w:sz w:val="24"/>
          <w:szCs w:val="24"/>
        </w:rPr>
        <w:t xml:space="preserve">Zbog čega nadalje slijedi </w:t>
      </w:r>
      <w:r w:rsidR="00BF2059" w:rsidRPr="00471BCB">
        <w:rPr>
          <w:rFonts w:cstheme="minorHAnsi"/>
          <w:sz w:val="24"/>
          <w:szCs w:val="24"/>
        </w:rPr>
        <w:t xml:space="preserve"> višak prihoda na AOP </w:t>
      </w:r>
      <w:r w:rsidR="00D24A8C">
        <w:rPr>
          <w:rFonts w:cstheme="minorHAnsi"/>
          <w:sz w:val="24"/>
          <w:szCs w:val="24"/>
        </w:rPr>
        <w:t>(</w:t>
      </w:r>
      <w:r w:rsidR="00BF2059" w:rsidRPr="00471BCB">
        <w:rPr>
          <w:rFonts w:cstheme="minorHAnsi"/>
          <w:sz w:val="24"/>
          <w:szCs w:val="24"/>
        </w:rPr>
        <w:t>40</w:t>
      </w:r>
      <w:r w:rsidR="00D24A8C">
        <w:rPr>
          <w:rFonts w:cstheme="minorHAnsi"/>
          <w:sz w:val="24"/>
          <w:szCs w:val="24"/>
        </w:rPr>
        <w:t>8)</w:t>
      </w:r>
      <w:r w:rsidR="00BF2059" w:rsidRPr="00471BCB">
        <w:rPr>
          <w:rFonts w:cstheme="minorHAnsi"/>
          <w:sz w:val="24"/>
          <w:szCs w:val="24"/>
        </w:rPr>
        <w:t xml:space="preserve"> </w:t>
      </w:r>
      <w:r w:rsidR="00A518F0" w:rsidRPr="00471BCB">
        <w:rPr>
          <w:rFonts w:cstheme="minorHAnsi"/>
          <w:sz w:val="24"/>
          <w:szCs w:val="24"/>
        </w:rPr>
        <w:t xml:space="preserve"> </w:t>
      </w:r>
      <w:r w:rsidR="00D24A8C">
        <w:rPr>
          <w:rFonts w:cstheme="minorHAnsi"/>
          <w:sz w:val="24"/>
          <w:szCs w:val="24"/>
        </w:rPr>
        <w:t>u iznosu od 48.24</w:t>
      </w:r>
      <w:r w:rsidR="00E01B28">
        <w:rPr>
          <w:rFonts w:cstheme="minorHAnsi"/>
          <w:sz w:val="24"/>
          <w:szCs w:val="24"/>
        </w:rPr>
        <w:t>6</w:t>
      </w:r>
      <w:r w:rsidR="00D24A8C">
        <w:rPr>
          <w:rFonts w:cstheme="minorHAnsi"/>
          <w:sz w:val="24"/>
          <w:szCs w:val="24"/>
        </w:rPr>
        <w:t xml:space="preserve"> HRK koji čini svega 2,6% viška prihoda ostvarenog u prethodnoj godini kada je ostvaren višak od 1.874.541 HRK.</w:t>
      </w:r>
      <w:r w:rsidR="00AC63AB">
        <w:rPr>
          <w:rFonts w:cstheme="minorHAnsi"/>
          <w:sz w:val="24"/>
          <w:szCs w:val="24"/>
        </w:rPr>
        <w:t xml:space="preserve"> Preneseni višak prihoda AOP (410) iznosi 2.523.839 HRK i  čini povećanje od 288,7% u odnosu na prethodnu godinu.</w:t>
      </w:r>
    </w:p>
    <w:p w:rsidR="002E6C38" w:rsidRDefault="002E6C38" w:rsidP="00A330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Obračunati prihodi – nenaplaćeni AOP (412) ostvareni su u iznosu od 253.685 HRK i manji su za 27,4% u odnosu na prethodno razdoblje.</w:t>
      </w:r>
      <w:r w:rsidR="008042A5">
        <w:rPr>
          <w:rFonts w:cstheme="minorHAnsi"/>
          <w:sz w:val="24"/>
          <w:szCs w:val="24"/>
        </w:rPr>
        <w:t xml:space="preserve"> Što predstavlja uplatu studenta do kraja godine jer smo ih obavijestili ranije o mogućemo blokiranju.</w:t>
      </w:r>
    </w:p>
    <w:p w:rsidR="00E60EAF" w:rsidRDefault="00E60EAF" w:rsidP="00A330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Višak prihoda raspoloživ u slijedećem razdoblju  AOP (638) iznosi 2.572.08</w:t>
      </w:r>
      <w:r w:rsidR="00E01B2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HRK.</w:t>
      </w:r>
    </w:p>
    <w:p w:rsidR="00E60EAF" w:rsidRDefault="00E60EAF" w:rsidP="00A330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Unaprijed plaćeni rashodi budućeg razdoblja AOP (640) iznose 953.869 HRK.</w:t>
      </w:r>
    </w:p>
    <w:p w:rsidR="004F4F07" w:rsidRPr="00E01B28" w:rsidRDefault="00E10FA6" w:rsidP="00A330F9">
      <w:pPr>
        <w:rPr>
          <w:rFonts w:cstheme="minorHAnsi"/>
          <w:color w:val="FF0000"/>
          <w:sz w:val="24"/>
          <w:szCs w:val="24"/>
        </w:rPr>
      </w:pPr>
      <w:r w:rsidRPr="00471BCB">
        <w:rPr>
          <w:rFonts w:cstheme="minorHAnsi"/>
          <w:sz w:val="24"/>
          <w:szCs w:val="24"/>
        </w:rPr>
        <w:t>Stanje novčanih sredstava na kraju iz</w:t>
      </w:r>
      <w:r w:rsidR="00A518F0" w:rsidRPr="00471BCB">
        <w:rPr>
          <w:rFonts w:cstheme="minorHAnsi"/>
          <w:sz w:val="24"/>
          <w:szCs w:val="24"/>
        </w:rPr>
        <w:t xml:space="preserve">vještajnog razdoblja na AOP </w:t>
      </w:r>
      <w:r w:rsidR="00E60EAF">
        <w:rPr>
          <w:rFonts w:cstheme="minorHAnsi"/>
          <w:sz w:val="24"/>
          <w:szCs w:val="24"/>
        </w:rPr>
        <w:t>(644) iznosi 5.837.299 HRK i manji je za 3,2%</w:t>
      </w:r>
      <w:r w:rsidR="00A518F0" w:rsidRPr="00471BCB">
        <w:rPr>
          <w:rFonts w:cstheme="minorHAnsi"/>
          <w:sz w:val="24"/>
          <w:szCs w:val="24"/>
        </w:rPr>
        <w:t xml:space="preserve"> </w:t>
      </w:r>
    </w:p>
    <w:p w:rsidR="00E10FA6" w:rsidRPr="008042A5" w:rsidRDefault="00E10FA6" w:rsidP="00A330F9">
      <w:pPr>
        <w:rPr>
          <w:rFonts w:cstheme="minorHAnsi"/>
          <w:color w:val="000000" w:themeColor="text1"/>
          <w:sz w:val="24"/>
          <w:szCs w:val="24"/>
        </w:rPr>
      </w:pPr>
      <w:r w:rsidRPr="008042A5">
        <w:rPr>
          <w:rFonts w:cstheme="minorHAnsi"/>
          <w:color w:val="000000" w:themeColor="text1"/>
          <w:sz w:val="24"/>
          <w:szCs w:val="24"/>
        </w:rPr>
        <w:t>Prosječan broj zaposlenika</w:t>
      </w:r>
      <w:r w:rsidR="00D0768F" w:rsidRPr="008042A5">
        <w:rPr>
          <w:rFonts w:cstheme="minorHAnsi"/>
          <w:color w:val="000000" w:themeColor="text1"/>
          <w:sz w:val="24"/>
          <w:szCs w:val="24"/>
        </w:rPr>
        <w:t xml:space="preserve"> na AOP 64</w:t>
      </w:r>
      <w:r w:rsidR="00E60EAF" w:rsidRPr="008042A5">
        <w:rPr>
          <w:rFonts w:cstheme="minorHAnsi"/>
          <w:color w:val="000000" w:themeColor="text1"/>
          <w:sz w:val="24"/>
          <w:szCs w:val="24"/>
        </w:rPr>
        <w:t>6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 </w:t>
      </w:r>
      <w:r w:rsidR="00E01B28" w:rsidRPr="008042A5">
        <w:rPr>
          <w:rFonts w:cstheme="minorHAnsi"/>
          <w:color w:val="000000" w:themeColor="text1"/>
          <w:sz w:val="24"/>
          <w:szCs w:val="24"/>
        </w:rPr>
        <w:t xml:space="preserve">iznosi 110 i 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 za </w:t>
      </w:r>
      <w:r w:rsidR="00543B16" w:rsidRPr="008042A5">
        <w:rPr>
          <w:rFonts w:cstheme="minorHAnsi"/>
          <w:color w:val="000000" w:themeColor="text1"/>
          <w:sz w:val="24"/>
          <w:szCs w:val="24"/>
        </w:rPr>
        <w:t>4,8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% </w:t>
      </w:r>
      <w:r w:rsidR="00E01B28" w:rsidRPr="008042A5">
        <w:rPr>
          <w:rFonts w:cstheme="minorHAnsi"/>
          <w:color w:val="000000" w:themeColor="text1"/>
          <w:sz w:val="24"/>
          <w:szCs w:val="24"/>
        </w:rPr>
        <w:t xml:space="preserve">je </w:t>
      </w:r>
      <w:r w:rsidRPr="008042A5">
        <w:rPr>
          <w:rFonts w:cstheme="minorHAnsi"/>
          <w:color w:val="000000" w:themeColor="text1"/>
          <w:sz w:val="24"/>
          <w:szCs w:val="24"/>
        </w:rPr>
        <w:t>veći,</w:t>
      </w:r>
      <w:r w:rsidR="00F03191" w:rsidRPr="008042A5">
        <w:rPr>
          <w:rFonts w:cstheme="minorHAnsi"/>
          <w:color w:val="000000" w:themeColor="text1"/>
          <w:sz w:val="24"/>
          <w:szCs w:val="24"/>
        </w:rPr>
        <w:t xml:space="preserve"> 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 prosječan broj zaposlenih kod korisnika na osnovi sati </w:t>
      </w:r>
      <w:r w:rsidR="00D0768F" w:rsidRPr="008042A5">
        <w:rPr>
          <w:rFonts w:cstheme="minorHAnsi"/>
          <w:color w:val="000000" w:themeColor="text1"/>
          <w:sz w:val="24"/>
          <w:szCs w:val="24"/>
        </w:rPr>
        <w:t xml:space="preserve">na AOP 645 </w:t>
      </w:r>
      <w:r w:rsidRPr="008042A5">
        <w:rPr>
          <w:rFonts w:cstheme="minorHAnsi"/>
          <w:color w:val="000000" w:themeColor="text1"/>
          <w:sz w:val="24"/>
          <w:szCs w:val="24"/>
        </w:rPr>
        <w:t>rada</w:t>
      </w:r>
      <w:r w:rsidR="00E01B28" w:rsidRPr="008042A5">
        <w:rPr>
          <w:rFonts w:cstheme="minorHAnsi"/>
          <w:color w:val="000000" w:themeColor="text1"/>
          <w:sz w:val="24"/>
          <w:szCs w:val="24"/>
        </w:rPr>
        <w:t xml:space="preserve"> iznosi 52 i 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 za </w:t>
      </w:r>
      <w:r w:rsidR="00543B16" w:rsidRPr="008042A5">
        <w:rPr>
          <w:rFonts w:cstheme="minorHAnsi"/>
          <w:color w:val="000000" w:themeColor="text1"/>
          <w:sz w:val="24"/>
          <w:szCs w:val="24"/>
        </w:rPr>
        <w:t>1,9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 %</w:t>
      </w:r>
      <w:r w:rsidR="00E01B28" w:rsidRPr="008042A5">
        <w:rPr>
          <w:rFonts w:cstheme="minorHAnsi"/>
          <w:color w:val="000000" w:themeColor="text1"/>
          <w:sz w:val="24"/>
          <w:szCs w:val="24"/>
        </w:rPr>
        <w:t xml:space="preserve"> je</w:t>
      </w:r>
      <w:r w:rsidRPr="008042A5">
        <w:rPr>
          <w:rFonts w:cstheme="minorHAnsi"/>
          <w:color w:val="000000" w:themeColor="text1"/>
          <w:sz w:val="24"/>
          <w:szCs w:val="24"/>
        </w:rPr>
        <w:t xml:space="preserve"> </w:t>
      </w:r>
      <w:r w:rsidR="00543B16" w:rsidRPr="008042A5">
        <w:rPr>
          <w:rFonts w:cstheme="minorHAnsi"/>
          <w:color w:val="000000" w:themeColor="text1"/>
          <w:sz w:val="24"/>
          <w:szCs w:val="24"/>
        </w:rPr>
        <w:t>manji š</w:t>
      </w:r>
      <w:r w:rsidR="00F03191" w:rsidRPr="008042A5">
        <w:rPr>
          <w:rFonts w:cstheme="minorHAnsi"/>
          <w:color w:val="000000" w:themeColor="text1"/>
          <w:sz w:val="24"/>
          <w:szCs w:val="24"/>
        </w:rPr>
        <w:t>to ukazuje na povećanu potrebu za zaposlenicima iz vlastitih sredstava što se financira prihodima iz školarina.</w:t>
      </w:r>
    </w:p>
    <w:p w:rsidR="00F628E4" w:rsidRPr="00471BCB" w:rsidRDefault="00F25DBD" w:rsidP="006248B4">
      <w:pPr>
        <w:ind w:firstLine="708"/>
        <w:jc w:val="both"/>
        <w:rPr>
          <w:rFonts w:cstheme="minorHAnsi"/>
          <w:b/>
          <w:sz w:val="24"/>
          <w:szCs w:val="24"/>
        </w:rPr>
      </w:pPr>
      <w:r w:rsidRPr="00471BCB">
        <w:rPr>
          <w:rFonts w:cstheme="minorHAnsi"/>
          <w:b/>
          <w:sz w:val="24"/>
          <w:szCs w:val="24"/>
        </w:rPr>
        <w:t>Bilješke uz obrazac Obveze:</w:t>
      </w:r>
    </w:p>
    <w:p w:rsidR="00BA7CF1" w:rsidRPr="00471BCB" w:rsidRDefault="002640CB" w:rsidP="002640CB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Stanje obveza na kraju izvještajnog razdoblja iznosi 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>1.775.531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471BCB">
        <w:rPr>
          <w:rFonts w:eastAsia="Times New Roman" w:cstheme="minorHAnsi"/>
          <w:bCs/>
          <w:sz w:val="24"/>
          <w:szCs w:val="24"/>
          <w:lang w:eastAsia="hr-HR"/>
        </w:rPr>
        <w:t>kn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(AOP 03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>8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>)</w:t>
      </w:r>
      <w:r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i 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>sastoji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se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od 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>dospjelih obveza na kraju i</w:t>
      </w:r>
      <w:r w:rsidR="00F03191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zvještajnog razdoblja 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>u iznosu od</w:t>
      </w:r>
      <w:r w:rsidR="00241A7F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 xml:space="preserve">842.770 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>kn (AOP 03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>9</w:t>
      </w:r>
      <w:r w:rsidR="00C544A5" w:rsidRPr="00471BCB">
        <w:rPr>
          <w:rFonts w:eastAsia="Times New Roman" w:cstheme="minorHAnsi"/>
          <w:bCs/>
          <w:sz w:val="24"/>
          <w:szCs w:val="24"/>
          <w:lang w:eastAsia="hr-HR"/>
        </w:rPr>
        <w:t>)</w:t>
      </w:r>
      <w:r w:rsidR="003E04FF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>te od nedospjelih obveza (AOP 9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>7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>) u iznosu od</w:t>
      </w:r>
      <w:r w:rsidR="00E345FB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 xml:space="preserve">932.761 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kn plaća za </w:t>
      </w:r>
      <w:r w:rsidR="00E345FB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prosinac </w:t>
      </w:r>
      <w:r w:rsidR="00F03191" w:rsidRPr="00471BCB">
        <w:rPr>
          <w:rFonts w:eastAsia="Times New Roman" w:cstheme="minorHAnsi"/>
          <w:bCs/>
          <w:sz w:val="24"/>
          <w:szCs w:val="24"/>
          <w:lang w:eastAsia="hr-HR"/>
        </w:rPr>
        <w:t>202</w:t>
      </w:r>
      <w:r w:rsidR="00E01B28">
        <w:rPr>
          <w:rFonts w:eastAsia="Times New Roman" w:cstheme="minorHAnsi"/>
          <w:bCs/>
          <w:sz w:val="24"/>
          <w:szCs w:val="24"/>
          <w:lang w:eastAsia="hr-HR"/>
        </w:rPr>
        <w:t>1</w:t>
      </w:r>
      <w:r w:rsidR="00C544A5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. </w:t>
      </w:r>
      <w:r w:rsidR="009219D5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iz vlastitih sredstava, </w:t>
      </w:r>
      <w:r w:rsidRPr="00471BCB">
        <w:rPr>
          <w:rFonts w:eastAsia="Times New Roman" w:cstheme="minorHAnsi"/>
          <w:bCs/>
          <w:sz w:val="24"/>
          <w:szCs w:val="24"/>
          <w:lang w:eastAsia="hr-HR"/>
        </w:rPr>
        <w:t>sredstava Ministarstva</w:t>
      </w:r>
      <w:r w:rsidR="00F03191"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 i  prijevoza</w:t>
      </w:r>
      <w:r w:rsidRPr="00471BCB">
        <w:rPr>
          <w:rFonts w:eastAsia="Times New Roman" w:cstheme="minorHAnsi"/>
          <w:bCs/>
          <w:sz w:val="24"/>
          <w:szCs w:val="24"/>
          <w:lang w:eastAsia="hr-HR"/>
        </w:rPr>
        <w:t xml:space="preserve">. </w:t>
      </w:r>
    </w:p>
    <w:p w:rsidR="00E345FB" w:rsidRPr="00471BCB" w:rsidRDefault="00E345FB" w:rsidP="002640CB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B7736" w:rsidRPr="00471BCB" w:rsidRDefault="007E0663" w:rsidP="002640CB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AOP 082</w:t>
      </w:r>
      <w:r w:rsidR="00E345FB"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sastoji se od obveze uplate za 3% za Sveučilište 27.879,56 kn,  obveze za plaćanje upisnina Sveučilištu u iznosu od  </w:t>
      </w:r>
      <w:r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175.640</w:t>
      </w:r>
      <w:r w:rsidR="00BE045B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,00</w:t>
      </w:r>
      <w:r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</w:t>
      </w:r>
      <w:r w:rsidR="00E345FB"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kn, obvezu za Uplatu Veleučilištu u Karlovcu u iznosu od </w:t>
      </w:r>
      <w:r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233.002</w:t>
      </w:r>
      <w:r w:rsidR="00E345FB"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kn, obvezu za uplatu Medicinskom Fakultetu za nastavu u iznosu od  </w:t>
      </w:r>
      <w:r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300.000,00</w:t>
      </w:r>
      <w:r w:rsidR="00E345FB"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 xml:space="preserve"> i obveze za </w:t>
      </w:r>
      <w:r w:rsidRPr="007E0663"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bolov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  <w:t>anje i ostale tuđe prihode.</w:t>
      </w:r>
    </w:p>
    <w:p w:rsidR="003B7736" w:rsidRPr="00062661" w:rsidRDefault="003B7736" w:rsidP="003B7736">
      <w:pPr>
        <w:jc w:val="both"/>
        <w:rPr>
          <w:rFonts w:cstheme="minorHAnsi"/>
          <w:color w:val="FF0000"/>
          <w:sz w:val="24"/>
          <w:szCs w:val="24"/>
        </w:rPr>
      </w:pPr>
    </w:p>
    <w:p w:rsidR="003B7736" w:rsidRDefault="003B7736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7E0663">
        <w:rPr>
          <w:rFonts w:cstheme="minorHAnsi"/>
          <w:color w:val="000000" w:themeColor="text1"/>
          <w:sz w:val="24"/>
          <w:szCs w:val="24"/>
        </w:rPr>
        <w:t>Na AO</w:t>
      </w:r>
      <w:r w:rsidR="007E0663" w:rsidRPr="007E0663">
        <w:rPr>
          <w:rFonts w:cstheme="minorHAnsi"/>
          <w:color w:val="000000" w:themeColor="text1"/>
          <w:sz w:val="24"/>
          <w:szCs w:val="24"/>
        </w:rPr>
        <w:t>P 001 vidljivo je smanjnje od 3% u odnosu na 2020</w:t>
      </w:r>
      <w:r w:rsidRPr="007E0663">
        <w:rPr>
          <w:rFonts w:cstheme="minorHAnsi"/>
          <w:color w:val="000000" w:themeColor="text1"/>
          <w:sz w:val="24"/>
          <w:szCs w:val="24"/>
        </w:rPr>
        <w:t>.godinu. Vidljivo je smanjenje u odnosu na stanje 01.01. kod postrojenja i opreme</w:t>
      </w:r>
      <w:r w:rsidR="007E0663" w:rsidRPr="007E0663">
        <w:rPr>
          <w:rFonts w:cstheme="minorHAnsi"/>
          <w:color w:val="000000" w:themeColor="text1"/>
          <w:sz w:val="24"/>
          <w:szCs w:val="24"/>
        </w:rPr>
        <w:t xml:space="preserve"> 13,7% na AOP 014</w:t>
      </w:r>
      <w:r w:rsidRPr="007E0663">
        <w:rPr>
          <w:rFonts w:cstheme="minorHAnsi"/>
          <w:color w:val="000000" w:themeColor="text1"/>
          <w:sz w:val="24"/>
          <w:szCs w:val="24"/>
        </w:rPr>
        <w:t xml:space="preserve"> jer kao što je bilo vidljivo u obrascu PR RAS  opremu novu nismo nabavljali a amortizacija je provedana što je dovelo do smanjenja vrijednosti.</w:t>
      </w:r>
    </w:p>
    <w:p w:rsidR="00A05160" w:rsidRPr="007E0663" w:rsidRDefault="00A05160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Vrijednost AOP 51 je smanjena jer je odlukom Uprave projektna dokumentacija koja je bila u pripremi u cjelosti otpisana budući da se urbanistički plan općine klana promijenio i projektna dokumentacija je neupotrebljiva.</w:t>
      </w:r>
    </w:p>
    <w:p w:rsidR="00D731CC" w:rsidRPr="00A05160" w:rsidRDefault="00D731CC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05160">
        <w:rPr>
          <w:rFonts w:cstheme="minorHAnsi"/>
          <w:color w:val="000000" w:themeColor="text1"/>
          <w:sz w:val="24"/>
          <w:szCs w:val="24"/>
        </w:rPr>
        <w:t xml:space="preserve">Vrijednost na AOP 081 je porasla, jer smo po HZZO- otvorenim stavkama zatvarali samo potraživanja za koja smo dobili potvrdu da su zatvorena. Također potraživanja za nastavu u Mostaru nisu naplaćena u iznosu od </w:t>
      </w:r>
      <w:r w:rsidR="00A05160" w:rsidRPr="00A05160">
        <w:rPr>
          <w:rFonts w:cstheme="minorHAnsi"/>
          <w:color w:val="000000" w:themeColor="text1"/>
          <w:sz w:val="24"/>
          <w:szCs w:val="24"/>
        </w:rPr>
        <w:t>33.407,00</w:t>
      </w:r>
      <w:r w:rsidRPr="00A05160">
        <w:rPr>
          <w:rFonts w:cstheme="minorHAnsi"/>
          <w:color w:val="000000" w:themeColor="text1"/>
          <w:sz w:val="24"/>
          <w:szCs w:val="24"/>
        </w:rPr>
        <w:t>kn.</w:t>
      </w:r>
    </w:p>
    <w:p w:rsidR="00D731CC" w:rsidRDefault="00D731CC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05160">
        <w:rPr>
          <w:rFonts w:cstheme="minorHAnsi"/>
          <w:color w:val="000000" w:themeColor="text1"/>
          <w:sz w:val="24"/>
          <w:szCs w:val="24"/>
        </w:rPr>
        <w:t>Na AOP 141  je manji zbog manjih troškova školarina i kraćeg roka dospijeća potra</w:t>
      </w:r>
      <w:r w:rsidR="00A05160" w:rsidRPr="00A05160">
        <w:rPr>
          <w:rFonts w:cstheme="minorHAnsi"/>
          <w:color w:val="000000" w:themeColor="text1"/>
          <w:sz w:val="24"/>
          <w:szCs w:val="24"/>
        </w:rPr>
        <w:t>živanja</w:t>
      </w:r>
      <w:r w:rsidR="00A05160">
        <w:rPr>
          <w:rFonts w:cstheme="minorHAnsi"/>
          <w:color w:val="000000" w:themeColor="text1"/>
          <w:sz w:val="24"/>
          <w:szCs w:val="24"/>
        </w:rPr>
        <w:t xml:space="preserve"> i većeg obavještavanja studenata</w:t>
      </w:r>
      <w:r w:rsidR="00A05160" w:rsidRPr="00A05160">
        <w:rPr>
          <w:rFonts w:cstheme="minorHAnsi"/>
          <w:color w:val="000000" w:themeColor="text1"/>
          <w:sz w:val="24"/>
          <w:szCs w:val="24"/>
        </w:rPr>
        <w:t xml:space="preserve"> za školarine. Na AOP 154</w:t>
      </w:r>
      <w:r w:rsidRPr="00A05160">
        <w:rPr>
          <w:rFonts w:cstheme="minorHAnsi"/>
          <w:color w:val="000000" w:themeColor="text1"/>
          <w:sz w:val="24"/>
          <w:szCs w:val="24"/>
        </w:rPr>
        <w:t xml:space="preserve"> vode se školarine, dok se na AOP</w:t>
      </w:r>
      <w:r w:rsidR="00A05160" w:rsidRPr="00A05160">
        <w:rPr>
          <w:rFonts w:cstheme="minorHAnsi"/>
          <w:color w:val="000000" w:themeColor="text1"/>
          <w:sz w:val="24"/>
          <w:szCs w:val="24"/>
        </w:rPr>
        <w:t>155</w:t>
      </w:r>
      <w:r w:rsidRPr="00A05160">
        <w:rPr>
          <w:rFonts w:cstheme="minorHAnsi"/>
          <w:color w:val="000000" w:themeColor="text1"/>
          <w:sz w:val="24"/>
          <w:szCs w:val="24"/>
        </w:rPr>
        <w:t xml:space="preserve"> vode potraživanja za Veleučilište u Karlovcu i najam prostora.</w:t>
      </w:r>
    </w:p>
    <w:p w:rsidR="00BE045B" w:rsidRDefault="00BE045B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A05160" w:rsidRPr="00A05160" w:rsidRDefault="00A05160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053CC9" w:rsidRPr="00A05160" w:rsidRDefault="00053CC9" w:rsidP="00053CC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05160">
        <w:rPr>
          <w:rFonts w:cstheme="minorHAnsi"/>
          <w:b/>
          <w:color w:val="000000" w:themeColor="text1"/>
          <w:sz w:val="24"/>
          <w:szCs w:val="24"/>
        </w:rPr>
        <w:t>Popis ugovornih odnosa koji uz ispunjenje određenih uvjeta mogu postati obveza ili imovina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7"/>
        <w:gridCol w:w="1471"/>
        <w:gridCol w:w="3069"/>
        <w:gridCol w:w="3107"/>
      </w:tblGrid>
      <w:tr w:rsidR="00A05160" w:rsidRPr="00A05160" w:rsidTr="008A2AC4">
        <w:trPr>
          <w:trHeight w:val="373"/>
        </w:trPr>
        <w:tc>
          <w:tcPr>
            <w:tcW w:w="1817" w:type="dxa"/>
          </w:tcPr>
          <w:p w:rsidR="00053CC9" w:rsidRPr="00A05160" w:rsidRDefault="00053CC9" w:rsidP="008A2AC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b/>
                <w:color w:val="000000" w:themeColor="text1"/>
                <w:sz w:val="24"/>
                <w:szCs w:val="24"/>
              </w:rPr>
              <w:t>Dobavljač</w:t>
            </w:r>
          </w:p>
        </w:tc>
        <w:tc>
          <w:tcPr>
            <w:tcW w:w="1471" w:type="dxa"/>
          </w:tcPr>
          <w:p w:rsidR="00053CC9" w:rsidRPr="00A05160" w:rsidRDefault="00053CC9" w:rsidP="008A2AC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3069" w:type="dxa"/>
          </w:tcPr>
          <w:p w:rsidR="00053CC9" w:rsidRPr="00A05160" w:rsidRDefault="00053CC9" w:rsidP="008A2AC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b/>
                <w:color w:val="000000" w:themeColor="text1"/>
                <w:sz w:val="24"/>
                <w:szCs w:val="24"/>
              </w:rPr>
              <w:t>Predmet ugovora</w:t>
            </w:r>
          </w:p>
        </w:tc>
        <w:tc>
          <w:tcPr>
            <w:tcW w:w="3107" w:type="dxa"/>
          </w:tcPr>
          <w:p w:rsidR="00053CC9" w:rsidRPr="00A05160" w:rsidRDefault="00053CC9" w:rsidP="008A2AC4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b/>
                <w:color w:val="000000" w:themeColor="text1"/>
                <w:sz w:val="24"/>
                <w:szCs w:val="24"/>
              </w:rPr>
              <w:t>Jamstvo</w:t>
            </w:r>
          </w:p>
        </w:tc>
      </w:tr>
      <w:tr w:rsidR="00A05160" w:rsidRPr="00A05160" w:rsidTr="008A2AC4">
        <w:tc>
          <w:tcPr>
            <w:tcW w:w="1817" w:type="dxa"/>
          </w:tcPr>
          <w:p w:rsidR="00053CC9" w:rsidRPr="00A05160" w:rsidRDefault="00053CC9" w:rsidP="008A2A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color w:val="000000" w:themeColor="text1"/>
                <w:sz w:val="24"/>
                <w:szCs w:val="24"/>
              </w:rPr>
              <w:t>Automatic Servis d.o.o. Buzet</w:t>
            </w:r>
          </w:p>
        </w:tc>
        <w:tc>
          <w:tcPr>
            <w:tcW w:w="1471" w:type="dxa"/>
          </w:tcPr>
          <w:p w:rsidR="00053CC9" w:rsidRPr="00A05160" w:rsidRDefault="00053CC9" w:rsidP="008A2AC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color w:val="000000" w:themeColor="text1"/>
                <w:sz w:val="24"/>
                <w:szCs w:val="24"/>
              </w:rPr>
              <w:t>01.04.2018.</w:t>
            </w:r>
          </w:p>
        </w:tc>
        <w:tc>
          <w:tcPr>
            <w:tcW w:w="3069" w:type="dxa"/>
          </w:tcPr>
          <w:p w:rsidR="00053CC9" w:rsidRPr="00A05160" w:rsidRDefault="00053CC9" w:rsidP="008A2AC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color w:val="000000" w:themeColor="text1"/>
                <w:sz w:val="24"/>
                <w:szCs w:val="24"/>
              </w:rPr>
              <w:t xml:space="preserve">Najam prostora na FZS za samoposlužne automate za tople i hladne napitke i snack proizvode </w:t>
            </w:r>
          </w:p>
        </w:tc>
        <w:tc>
          <w:tcPr>
            <w:tcW w:w="3107" w:type="dxa"/>
          </w:tcPr>
          <w:p w:rsidR="00053CC9" w:rsidRPr="00A05160" w:rsidRDefault="00053CC9" w:rsidP="008A2AC4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5160">
              <w:rPr>
                <w:rFonts w:cstheme="minorHAnsi"/>
                <w:color w:val="000000" w:themeColor="text1"/>
                <w:sz w:val="24"/>
                <w:szCs w:val="24"/>
              </w:rPr>
              <w:t>Dano jamstvo u slučaju prijevremenog raskida Ugovora u iznosu 2.404,00kn (2 mjesečne najamnine)</w:t>
            </w:r>
          </w:p>
        </w:tc>
      </w:tr>
    </w:tbl>
    <w:p w:rsidR="00053CC9" w:rsidRPr="00A05160" w:rsidRDefault="00053CC9" w:rsidP="00053CC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05160">
        <w:rPr>
          <w:rFonts w:cstheme="minorHAnsi"/>
          <w:color w:val="000000" w:themeColor="text1"/>
          <w:sz w:val="24"/>
          <w:szCs w:val="24"/>
        </w:rPr>
        <w:t>Trajanje Ugovora: 1 godinu</w:t>
      </w:r>
    </w:p>
    <w:p w:rsidR="003B7736" w:rsidRPr="00062661" w:rsidRDefault="003B7736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BE3001" w:rsidRPr="00A05160" w:rsidRDefault="00BE3001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A05160">
        <w:rPr>
          <w:rFonts w:cstheme="minorHAnsi"/>
          <w:color w:val="000000" w:themeColor="text1"/>
          <w:sz w:val="24"/>
          <w:szCs w:val="24"/>
        </w:rPr>
        <w:t xml:space="preserve">Na AOP 228 vidljivo je manje priznavanja prihoda od  školarina u idućoj godinu za </w:t>
      </w:r>
      <w:r w:rsidR="00A05160" w:rsidRPr="00A05160">
        <w:rPr>
          <w:rFonts w:cstheme="minorHAnsi"/>
          <w:color w:val="000000" w:themeColor="text1"/>
          <w:sz w:val="24"/>
          <w:szCs w:val="24"/>
        </w:rPr>
        <w:t xml:space="preserve">166.374 </w:t>
      </w:r>
      <w:r w:rsidRPr="00A05160">
        <w:rPr>
          <w:rFonts w:cstheme="minorHAnsi"/>
          <w:color w:val="000000" w:themeColor="text1"/>
          <w:sz w:val="24"/>
          <w:szCs w:val="24"/>
        </w:rPr>
        <w:t>kn što je rezultat manje fakturiranih školarina zbog manjih cijena školarina, sukladno tome pojedine tranše iznose manje.</w:t>
      </w:r>
    </w:p>
    <w:p w:rsidR="00B113F3" w:rsidRDefault="00B113F3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  <w:r w:rsidRPr="00523925">
        <w:drawing>
          <wp:inline distT="0" distB="0" distL="0" distR="0">
            <wp:extent cx="6153150" cy="1537922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29" cy="155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Pr="00523925" w:rsidRDefault="00523925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>Ukupan višak na izvoru 11 je 28.986,67, jer je odlukom Sveučilišta sa projekta iz izvora 11  (prof. Hauser) prebačeno na drugi projekt izvor 52 (prof. Kraljević)</w:t>
      </w:r>
      <w:r>
        <w:rPr>
          <w:rFonts w:cstheme="minorHAnsi"/>
          <w:color w:val="000000" w:themeColor="text1"/>
          <w:sz w:val="24"/>
          <w:szCs w:val="24"/>
        </w:rPr>
        <w:t xml:space="preserve"> 53,62 kn što je mijenjano kroz rezultat.</w:t>
      </w:r>
    </w:p>
    <w:p w:rsidR="00523925" w:rsidRPr="00523925" w:rsidRDefault="00523925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  <w:r w:rsidRPr="00523925">
        <w:drawing>
          <wp:inline distT="0" distB="0" distL="0" distR="0">
            <wp:extent cx="6120130" cy="1504493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523925" w:rsidRDefault="00523925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C876F3" w:rsidRPr="00062661" w:rsidRDefault="00C876F3" w:rsidP="00523925">
      <w:pPr>
        <w:jc w:val="both"/>
        <w:rPr>
          <w:rFonts w:cstheme="minorHAnsi"/>
          <w:color w:val="FF0000"/>
          <w:sz w:val="24"/>
          <w:szCs w:val="24"/>
        </w:rPr>
      </w:pPr>
    </w:p>
    <w:p w:rsidR="00C876F3" w:rsidRPr="00062661" w:rsidRDefault="00C876F3" w:rsidP="003B7736">
      <w:pPr>
        <w:ind w:firstLine="708"/>
        <w:jc w:val="both"/>
        <w:rPr>
          <w:rFonts w:cstheme="minorHAnsi"/>
          <w:color w:val="FF0000"/>
          <w:sz w:val="24"/>
          <w:szCs w:val="24"/>
        </w:rPr>
      </w:pPr>
    </w:p>
    <w:p w:rsidR="00C876F3" w:rsidRPr="00523925" w:rsidRDefault="00053CC9" w:rsidP="003B7736">
      <w:pPr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23925">
        <w:rPr>
          <w:rFonts w:cstheme="minorHAnsi"/>
          <w:b/>
          <w:color w:val="000000" w:themeColor="text1"/>
          <w:sz w:val="24"/>
          <w:szCs w:val="24"/>
        </w:rPr>
        <w:t>Bilješke uz P-VRIO  izvještaj</w:t>
      </w:r>
    </w:p>
    <w:tbl>
      <w:tblPr>
        <w:tblW w:w="10216" w:type="dxa"/>
        <w:tblLook w:val="04A0" w:firstRow="1" w:lastRow="0" w:firstColumn="1" w:lastColumn="0" w:noHBand="0" w:noVBand="1"/>
      </w:tblPr>
      <w:tblGrid>
        <w:gridCol w:w="5440"/>
        <w:gridCol w:w="1501"/>
        <w:gridCol w:w="2315"/>
        <w:gridCol w:w="960"/>
      </w:tblGrid>
      <w:tr w:rsidR="00523925" w:rsidRPr="00523925" w:rsidTr="00081028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smanjenje/povećanje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AOP </w:t>
            </w:r>
          </w:p>
        </w:tc>
      </w:tr>
      <w:tr w:rsidR="00523925" w:rsidRPr="00523925" w:rsidTr="00081028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52392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Rashodovanje dugotajne imovine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523925" w:rsidP="00053CC9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20.992</w:t>
            </w:r>
            <w:r w:rsidR="00053CC9"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005</w:t>
            </w:r>
          </w:p>
        </w:tc>
      </w:tr>
      <w:tr w:rsidR="00523925" w:rsidRPr="00523925" w:rsidTr="00523925">
        <w:trPr>
          <w:trHeight w:val="19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523925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Nađena dugotrajna imovina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523925" w:rsidP="00053CC9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70</w:t>
            </w:r>
            <w:r w:rsidR="00053CC9"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povećanje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020</w:t>
            </w:r>
          </w:p>
        </w:tc>
      </w:tr>
      <w:tr w:rsidR="00053CC9" w:rsidRPr="00523925" w:rsidTr="00081028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523925" w:rsidP="0052392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Otpis imovine u pripremi zbog trajnog odustjanja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523925" w:rsidP="00053CC9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43.750</w:t>
            </w:r>
            <w:r w:rsidR="00053CC9"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smanjenej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CC9" w:rsidRPr="00523925" w:rsidRDefault="00053CC9" w:rsidP="00053C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523925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032</w:t>
            </w:r>
          </w:p>
        </w:tc>
      </w:tr>
    </w:tbl>
    <w:p w:rsidR="00053CC9" w:rsidRPr="00523925" w:rsidRDefault="00053CC9" w:rsidP="003B7736">
      <w:pPr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C876F3" w:rsidRPr="00523925" w:rsidRDefault="00C876F3" w:rsidP="003B7736">
      <w:pPr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:rsidR="00E345FB" w:rsidRPr="00523925" w:rsidRDefault="00E345FB" w:rsidP="002640CB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</w:p>
    <w:p w:rsidR="00C544A5" w:rsidRPr="00523925" w:rsidRDefault="00C544A5" w:rsidP="002640CB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hr-HR"/>
        </w:rPr>
      </w:pPr>
    </w:p>
    <w:p w:rsidR="002623A2" w:rsidRPr="00523925" w:rsidRDefault="002623A2" w:rsidP="002623A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>Voditelj</w:t>
      </w:r>
      <w:r w:rsidR="00501D47" w:rsidRPr="00523925">
        <w:rPr>
          <w:rFonts w:cstheme="minorHAnsi"/>
          <w:color w:val="000000" w:themeColor="text1"/>
          <w:sz w:val="24"/>
          <w:szCs w:val="24"/>
        </w:rPr>
        <w:t>ica</w:t>
      </w:r>
      <w:r w:rsidRPr="00523925">
        <w:rPr>
          <w:rFonts w:cstheme="minorHAnsi"/>
          <w:color w:val="000000" w:themeColor="text1"/>
          <w:sz w:val="24"/>
          <w:szCs w:val="24"/>
        </w:rPr>
        <w:t xml:space="preserve"> Financijsko računovodstvene službe:</w:t>
      </w:r>
    </w:p>
    <w:p w:rsidR="002623A2" w:rsidRPr="00523925" w:rsidRDefault="00C408CA" w:rsidP="000F1BCE">
      <w:pPr>
        <w:tabs>
          <w:tab w:val="left" w:pos="6787"/>
        </w:tabs>
        <w:jc w:val="both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>mr.sc. Vanja Župan</w:t>
      </w:r>
      <w:r w:rsidR="000F1BCE" w:rsidRPr="00523925">
        <w:rPr>
          <w:rFonts w:cstheme="minorHAnsi"/>
          <w:color w:val="000000" w:themeColor="text1"/>
          <w:sz w:val="24"/>
          <w:szCs w:val="24"/>
        </w:rPr>
        <w:t xml:space="preserve">, </w:t>
      </w:r>
      <w:r w:rsidR="00E1565B" w:rsidRPr="00523925">
        <w:rPr>
          <w:rFonts w:cstheme="minorHAnsi"/>
          <w:color w:val="000000" w:themeColor="text1"/>
          <w:sz w:val="24"/>
          <w:szCs w:val="24"/>
        </w:rPr>
        <w:t>dipl.oec.</w:t>
      </w:r>
      <w:r w:rsidR="002623A2" w:rsidRPr="0052392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6A3421"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3A0861" w:rsidRPr="00523925">
        <w:rPr>
          <w:rFonts w:cstheme="minorHAnsi"/>
          <w:color w:val="000000" w:themeColor="text1"/>
          <w:sz w:val="24"/>
          <w:szCs w:val="24"/>
        </w:rPr>
        <w:t>Dekan</w:t>
      </w:r>
      <w:r w:rsidR="00501D47" w:rsidRPr="00523925">
        <w:rPr>
          <w:rFonts w:cstheme="minorHAnsi"/>
          <w:color w:val="000000" w:themeColor="text1"/>
          <w:sz w:val="24"/>
          <w:szCs w:val="24"/>
        </w:rPr>
        <w:t>ica</w:t>
      </w:r>
      <w:r w:rsidR="003A0861" w:rsidRPr="00523925">
        <w:rPr>
          <w:rFonts w:cstheme="minorHAnsi"/>
          <w:color w:val="000000" w:themeColor="text1"/>
          <w:sz w:val="24"/>
          <w:szCs w:val="24"/>
        </w:rPr>
        <w:t>:</w:t>
      </w:r>
    </w:p>
    <w:p w:rsidR="002B73FD" w:rsidRPr="00523925" w:rsidRDefault="002623A2" w:rsidP="002623A2">
      <w:pPr>
        <w:tabs>
          <w:tab w:val="left" w:pos="6787"/>
        </w:tabs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23925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</w:t>
      </w:r>
      <w:r w:rsidR="006A3421"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67028D" w:rsidRPr="00523925">
        <w:rPr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523925">
        <w:rPr>
          <w:rFonts w:cstheme="minorHAnsi"/>
          <w:color w:val="000000" w:themeColor="text1"/>
          <w:sz w:val="24"/>
          <w:szCs w:val="24"/>
        </w:rPr>
        <w:t xml:space="preserve">     </w:t>
      </w:r>
      <w:r w:rsidR="006A3421"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3A0861" w:rsidRPr="00523925">
        <w:rPr>
          <w:rFonts w:cstheme="minorHAnsi"/>
          <w:color w:val="000000" w:themeColor="text1"/>
          <w:sz w:val="24"/>
          <w:szCs w:val="24"/>
        </w:rPr>
        <w:t>Prof. dr.</w:t>
      </w:r>
      <w:r w:rsidRPr="00523925">
        <w:rPr>
          <w:rFonts w:cstheme="minorHAnsi"/>
          <w:color w:val="000000" w:themeColor="text1"/>
          <w:sz w:val="24"/>
          <w:szCs w:val="24"/>
        </w:rPr>
        <w:t xml:space="preserve"> </w:t>
      </w:r>
      <w:r w:rsidR="0067028D" w:rsidRPr="00523925">
        <w:rPr>
          <w:rFonts w:cstheme="minorHAnsi"/>
          <w:color w:val="000000" w:themeColor="text1"/>
          <w:sz w:val="24"/>
          <w:szCs w:val="24"/>
        </w:rPr>
        <w:t>sc. Daniela Malnar</w:t>
      </w:r>
      <w:r w:rsidR="006A3421" w:rsidRPr="00523925">
        <w:rPr>
          <w:rFonts w:cstheme="minorHAnsi"/>
          <w:color w:val="000000" w:themeColor="text1"/>
          <w:sz w:val="24"/>
          <w:szCs w:val="24"/>
        </w:rPr>
        <w:t>, dr. med.</w:t>
      </w:r>
    </w:p>
    <w:p w:rsidR="002B73FD" w:rsidRPr="00523925" w:rsidRDefault="002B73FD" w:rsidP="002B73FD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2B73FD" w:rsidRPr="00523925" w:rsidRDefault="002B73FD" w:rsidP="002B73FD">
      <w:pPr>
        <w:rPr>
          <w:rFonts w:cstheme="minorHAnsi"/>
          <w:color w:val="000000" w:themeColor="text1"/>
          <w:sz w:val="24"/>
          <w:szCs w:val="24"/>
        </w:rPr>
      </w:pPr>
    </w:p>
    <w:sectPr w:rsidR="002B73FD" w:rsidRPr="00523925" w:rsidSect="00AE1B0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90" w:rsidRDefault="00091690" w:rsidP="00AE1B0C">
      <w:pPr>
        <w:spacing w:after="0" w:line="240" w:lineRule="auto"/>
      </w:pPr>
      <w:r>
        <w:separator/>
      </w:r>
    </w:p>
  </w:endnote>
  <w:endnote w:type="continuationSeparator" w:id="0">
    <w:p w:rsidR="00091690" w:rsidRDefault="00091690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0C" w:rsidRPr="00AE1B0C" w:rsidRDefault="004F4BF4" w:rsidP="00AE1B0C">
    <w:pPr>
      <w:pStyle w:val="Podnoje"/>
      <w:pBdr>
        <w:top w:val="single" w:sz="4" w:space="1" w:color="2E74B5" w:themeColor="accent1" w:themeShade="BF"/>
      </w:pBdr>
      <w:jc w:val="center"/>
      <w:rPr>
        <w:color w:val="0070C0"/>
        <w:sz w:val="20"/>
      </w:rPr>
    </w:pPr>
    <w:r w:rsidRPr="004F4BF4"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 w:rsidRPr="004F4BF4"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 w:rsidRPr="004F4BF4"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90" w:rsidRDefault="00091690" w:rsidP="00AE1B0C">
      <w:pPr>
        <w:spacing w:after="0" w:line="240" w:lineRule="auto"/>
      </w:pPr>
      <w:r>
        <w:separator/>
      </w:r>
    </w:p>
  </w:footnote>
  <w:footnote w:type="continuationSeparator" w:id="0">
    <w:p w:rsidR="00091690" w:rsidRDefault="00091690" w:rsidP="00AE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5"/>
    <w:rsid w:val="00000EED"/>
    <w:rsid w:val="000026F6"/>
    <w:rsid w:val="00003440"/>
    <w:rsid w:val="00013F33"/>
    <w:rsid w:val="000167B3"/>
    <w:rsid w:val="000333DC"/>
    <w:rsid w:val="00037063"/>
    <w:rsid w:val="00044EE0"/>
    <w:rsid w:val="00050DC8"/>
    <w:rsid w:val="00053CC9"/>
    <w:rsid w:val="000573D0"/>
    <w:rsid w:val="000615A8"/>
    <w:rsid w:val="000624FE"/>
    <w:rsid w:val="00062661"/>
    <w:rsid w:val="00065560"/>
    <w:rsid w:val="00073FA0"/>
    <w:rsid w:val="000758B1"/>
    <w:rsid w:val="00081028"/>
    <w:rsid w:val="0008579B"/>
    <w:rsid w:val="000858C3"/>
    <w:rsid w:val="000907E6"/>
    <w:rsid w:val="00090B01"/>
    <w:rsid w:val="00091690"/>
    <w:rsid w:val="000B2900"/>
    <w:rsid w:val="000F0FDD"/>
    <w:rsid w:val="000F1BCE"/>
    <w:rsid w:val="000F4E18"/>
    <w:rsid w:val="00101658"/>
    <w:rsid w:val="00102D9E"/>
    <w:rsid w:val="00121544"/>
    <w:rsid w:val="00130484"/>
    <w:rsid w:val="00137840"/>
    <w:rsid w:val="001541E8"/>
    <w:rsid w:val="00165D94"/>
    <w:rsid w:val="001A3E22"/>
    <w:rsid w:val="001B5E9D"/>
    <w:rsid w:val="001B62C7"/>
    <w:rsid w:val="001B7AFD"/>
    <w:rsid w:val="001C0039"/>
    <w:rsid w:val="001C17E7"/>
    <w:rsid w:val="001C2CF6"/>
    <w:rsid w:val="001D26E0"/>
    <w:rsid w:val="001D7D4B"/>
    <w:rsid w:val="001E54C5"/>
    <w:rsid w:val="001E55A7"/>
    <w:rsid w:val="001F30CD"/>
    <w:rsid w:val="001F53DD"/>
    <w:rsid w:val="00200876"/>
    <w:rsid w:val="002054A0"/>
    <w:rsid w:val="00205C1F"/>
    <w:rsid w:val="002100FF"/>
    <w:rsid w:val="00213968"/>
    <w:rsid w:val="00230F54"/>
    <w:rsid w:val="00231962"/>
    <w:rsid w:val="00233289"/>
    <w:rsid w:val="002403A5"/>
    <w:rsid w:val="00241A7F"/>
    <w:rsid w:val="00243FF9"/>
    <w:rsid w:val="00246140"/>
    <w:rsid w:val="002465EC"/>
    <w:rsid w:val="002557A5"/>
    <w:rsid w:val="002623A2"/>
    <w:rsid w:val="0026293D"/>
    <w:rsid w:val="002640CB"/>
    <w:rsid w:val="002654D9"/>
    <w:rsid w:val="00271240"/>
    <w:rsid w:val="002712E5"/>
    <w:rsid w:val="0028590B"/>
    <w:rsid w:val="00295016"/>
    <w:rsid w:val="00297A9F"/>
    <w:rsid w:val="002A3BBA"/>
    <w:rsid w:val="002A46C8"/>
    <w:rsid w:val="002B17C8"/>
    <w:rsid w:val="002B73FD"/>
    <w:rsid w:val="002D78B5"/>
    <w:rsid w:val="002E28A6"/>
    <w:rsid w:val="002E6C38"/>
    <w:rsid w:val="002F4211"/>
    <w:rsid w:val="00336008"/>
    <w:rsid w:val="003405D6"/>
    <w:rsid w:val="00343257"/>
    <w:rsid w:val="00351DF3"/>
    <w:rsid w:val="00356C04"/>
    <w:rsid w:val="003742FB"/>
    <w:rsid w:val="00381BD7"/>
    <w:rsid w:val="003A0861"/>
    <w:rsid w:val="003A0EC8"/>
    <w:rsid w:val="003B0D3F"/>
    <w:rsid w:val="003B7736"/>
    <w:rsid w:val="003D339B"/>
    <w:rsid w:val="003E04FF"/>
    <w:rsid w:val="003E16B2"/>
    <w:rsid w:val="003E2211"/>
    <w:rsid w:val="003E2C5C"/>
    <w:rsid w:val="003F1FB6"/>
    <w:rsid w:val="004037CF"/>
    <w:rsid w:val="00415F37"/>
    <w:rsid w:val="004166C9"/>
    <w:rsid w:val="004236BB"/>
    <w:rsid w:val="004271BA"/>
    <w:rsid w:val="00446B37"/>
    <w:rsid w:val="00471296"/>
    <w:rsid w:val="00471BCB"/>
    <w:rsid w:val="004827E3"/>
    <w:rsid w:val="00486715"/>
    <w:rsid w:val="00491428"/>
    <w:rsid w:val="00492D5F"/>
    <w:rsid w:val="004A7458"/>
    <w:rsid w:val="004B6751"/>
    <w:rsid w:val="004C51BE"/>
    <w:rsid w:val="004E5E20"/>
    <w:rsid w:val="004F18BF"/>
    <w:rsid w:val="004F4BF4"/>
    <w:rsid w:val="004F4F07"/>
    <w:rsid w:val="00501D47"/>
    <w:rsid w:val="0050399E"/>
    <w:rsid w:val="00512229"/>
    <w:rsid w:val="005221B5"/>
    <w:rsid w:val="00523925"/>
    <w:rsid w:val="005307F2"/>
    <w:rsid w:val="00543B16"/>
    <w:rsid w:val="005510B4"/>
    <w:rsid w:val="005706FA"/>
    <w:rsid w:val="005843DA"/>
    <w:rsid w:val="00590628"/>
    <w:rsid w:val="005A46CC"/>
    <w:rsid w:val="005A500D"/>
    <w:rsid w:val="005B7C75"/>
    <w:rsid w:val="005C0110"/>
    <w:rsid w:val="005C7A5F"/>
    <w:rsid w:val="005E0681"/>
    <w:rsid w:val="005F7F0A"/>
    <w:rsid w:val="00605592"/>
    <w:rsid w:val="0061118E"/>
    <w:rsid w:val="006248B4"/>
    <w:rsid w:val="0062540F"/>
    <w:rsid w:val="00646D83"/>
    <w:rsid w:val="00663849"/>
    <w:rsid w:val="0067028D"/>
    <w:rsid w:val="006845CD"/>
    <w:rsid w:val="006A3421"/>
    <w:rsid w:val="006A61FE"/>
    <w:rsid w:val="006A7157"/>
    <w:rsid w:val="006B53E1"/>
    <w:rsid w:val="006B79F2"/>
    <w:rsid w:val="006C678B"/>
    <w:rsid w:val="006C713B"/>
    <w:rsid w:val="006D2529"/>
    <w:rsid w:val="006E19DF"/>
    <w:rsid w:val="006E2624"/>
    <w:rsid w:val="006E5A88"/>
    <w:rsid w:val="006F4663"/>
    <w:rsid w:val="00704B99"/>
    <w:rsid w:val="00714191"/>
    <w:rsid w:val="007161F7"/>
    <w:rsid w:val="00733F7E"/>
    <w:rsid w:val="0073503D"/>
    <w:rsid w:val="0073550D"/>
    <w:rsid w:val="00744EB0"/>
    <w:rsid w:val="00745A62"/>
    <w:rsid w:val="007527F6"/>
    <w:rsid w:val="007566A5"/>
    <w:rsid w:val="00763A04"/>
    <w:rsid w:val="007769B9"/>
    <w:rsid w:val="007C1841"/>
    <w:rsid w:val="007E0663"/>
    <w:rsid w:val="007F0346"/>
    <w:rsid w:val="007F37D0"/>
    <w:rsid w:val="008027C3"/>
    <w:rsid w:val="008042A5"/>
    <w:rsid w:val="008345E0"/>
    <w:rsid w:val="00840365"/>
    <w:rsid w:val="00845A6B"/>
    <w:rsid w:val="008504A2"/>
    <w:rsid w:val="00861237"/>
    <w:rsid w:val="00866F94"/>
    <w:rsid w:val="008700E1"/>
    <w:rsid w:val="00873675"/>
    <w:rsid w:val="008819DE"/>
    <w:rsid w:val="00890183"/>
    <w:rsid w:val="008968AB"/>
    <w:rsid w:val="008970BD"/>
    <w:rsid w:val="008A56E2"/>
    <w:rsid w:val="008D0D91"/>
    <w:rsid w:val="008D45D4"/>
    <w:rsid w:val="008D4BA0"/>
    <w:rsid w:val="008E7D29"/>
    <w:rsid w:val="008F0B4D"/>
    <w:rsid w:val="008F4C6A"/>
    <w:rsid w:val="00903292"/>
    <w:rsid w:val="00913B13"/>
    <w:rsid w:val="009219D5"/>
    <w:rsid w:val="009246D1"/>
    <w:rsid w:val="00950F45"/>
    <w:rsid w:val="0096367E"/>
    <w:rsid w:val="00986190"/>
    <w:rsid w:val="00994242"/>
    <w:rsid w:val="0099689A"/>
    <w:rsid w:val="009A78D2"/>
    <w:rsid w:val="009B3254"/>
    <w:rsid w:val="009B4316"/>
    <w:rsid w:val="009F6DB7"/>
    <w:rsid w:val="009F7105"/>
    <w:rsid w:val="00A05160"/>
    <w:rsid w:val="00A13BBA"/>
    <w:rsid w:val="00A26A69"/>
    <w:rsid w:val="00A31935"/>
    <w:rsid w:val="00A330F9"/>
    <w:rsid w:val="00A40D2C"/>
    <w:rsid w:val="00A416A6"/>
    <w:rsid w:val="00A45599"/>
    <w:rsid w:val="00A45BDE"/>
    <w:rsid w:val="00A518F0"/>
    <w:rsid w:val="00A52A97"/>
    <w:rsid w:val="00A56212"/>
    <w:rsid w:val="00A565D6"/>
    <w:rsid w:val="00A71BF8"/>
    <w:rsid w:val="00A74F44"/>
    <w:rsid w:val="00A84FAB"/>
    <w:rsid w:val="00AA4A75"/>
    <w:rsid w:val="00AB12F0"/>
    <w:rsid w:val="00AC36C0"/>
    <w:rsid w:val="00AC63AB"/>
    <w:rsid w:val="00AE059D"/>
    <w:rsid w:val="00AE1B0C"/>
    <w:rsid w:val="00B06803"/>
    <w:rsid w:val="00B113F3"/>
    <w:rsid w:val="00B1372E"/>
    <w:rsid w:val="00B23FC7"/>
    <w:rsid w:val="00B25800"/>
    <w:rsid w:val="00B55CF5"/>
    <w:rsid w:val="00B5768F"/>
    <w:rsid w:val="00B75FD6"/>
    <w:rsid w:val="00B859AC"/>
    <w:rsid w:val="00B86E41"/>
    <w:rsid w:val="00B90E90"/>
    <w:rsid w:val="00B924B9"/>
    <w:rsid w:val="00B932B0"/>
    <w:rsid w:val="00B937DF"/>
    <w:rsid w:val="00B940BB"/>
    <w:rsid w:val="00BA7CF1"/>
    <w:rsid w:val="00BD3232"/>
    <w:rsid w:val="00BD7BA1"/>
    <w:rsid w:val="00BE045B"/>
    <w:rsid w:val="00BE3001"/>
    <w:rsid w:val="00BF00C3"/>
    <w:rsid w:val="00BF2059"/>
    <w:rsid w:val="00C00C9A"/>
    <w:rsid w:val="00C06594"/>
    <w:rsid w:val="00C40858"/>
    <w:rsid w:val="00C408CA"/>
    <w:rsid w:val="00C46164"/>
    <w:rsid w:val="00C5071E"/>
    <w:rsid w:val="00C50F3B"/>
    <w:rsid w:val="00C544A5"/>
    <w:rsid w:val="00C70C3C"/>
    <w:rsid w:val="00C876F3"/>
    <w:rsid w:val="00C92250"/>
    <w:rsid w:val="00CA73B2"/>
    <w:rsid w:val="00CB17D5"/>
    <w:rsid w:val="00CD4515"/>
    <w:rsid w:val="00CE281B"/>
    <w:rsid w:val="00CE3845"/>
    <w:rsid w:val="00CF22E8"/>
    <w:rsid w:val="00D00768"/>
    <w:rsid w:val="00D04DCB"/>
    <w:rsid w:val="00D075AF"/>
    <w:rsid w:val="00D0768F"/>
    <w:rsid w:val="00D14F6C"/>
    <w:rsid w:val="00D20B2E"/>
    <w:rsid w:val="00D2326D"/>
    <w:rsid w:val="00D24A8C"/>
    <w:rsid w:val="00D47E6F"/>
    <w:rsid w:val="00D54C9C"/>
    <w:rsid w:val="00D731CC"/>
    <w:rsid w:val="00D77183"/>
    <w:rsid w:val="00D845D6"/>
    <w:rsid w:val="00D86D15"/>
    <w:rsid w:val="00D913BA"/>
    <w:rsid w:val="00D94608"/>
    <w:rsid w:val="00DA0196"/>
    <w:rsid w:val="00DA72C2"/>
    <w:rsid w:val="00DE32E4"/>
    <w:rsid w:val="00DE4B75"/>
    <w:rsid w:val="00E00BD2"/>
    <w:rsid w:val="00E01B28"/>
    <w:rsid w:val="00E06EC9"/>
    <w:rsid w:val="00E10FA6"/>
    <w:rsid w:val="00E1565B"/>
    <w:rsid w:val="00E172F9"/>
    <w:rsid w:val="00E345FB"/>
    <w:rsid w:val="00E43B23"/>
    <w:rsid w:val="00E44C02"/>
    <w:rsid w:val="00E5734A"/>
    <w:rsid w:val="00E60EAF"/>
    <w:rsid w:val="00E629AE"/>
    <w:rsid w:val="00E666EE"/>
    <w:rsid w:val="00E714B2"/>
    <w:rsid w:val="00E74358"/>
    <w:rsid w:val="00E766A0"/>
    <w:rsid w:val="00E80123"/>
    <w:rsid w:val="00E93DAA"/>
    <w:rsid w:val="00EA460A"/>
    <w:rsid w:val="00ED5F8C"/>
    <w:rsid w:val="00EE209B"/>
    <w:rsid w:val="00EF08D5"/>
    <w:rsid w:val="00EF17DA"/>
    <w:rsid w:val="00EF1A68"/>
    <w:rsid w:val="00F03191"/>
    <w:rsid w:val="00F06CDE"/>
    <w:rsid w:val="00F15FB4"/>
    <w:rsid w:val="00F25DBD"/>
    <w:rsid w:val="00F31EDE"/>
    <w:rsid w:val="00F32194"/>
    <w:rsid w:val="00F42F5E"/>
    <w:rsid w:val="00F5694E"/>
    <w:rsid w:val="00F628E4"/>
    <w:rsid w:val="00F64648"/>
    <w:rsid w:val="00F80949"/>
    <w:rsid w:val="00F875F1"/>
    <w:rsid w:val="00F87A0C"/>
    <w:rsid w:val="00FA3E70"/>
    <w:rsid w:val="00FA57A3"/>
    <w:rsid w:val="00FD0117"/>
    <w:rsid w:val="00FD7385"/>
    <w:rsid w:val="00FF076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A512"/>
  <w15:docId w15:val="{BBC97E07-C194-4419-B29D-5D8B008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50F3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B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2.dotx</Template>
  <TotalTime>84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</dc:creator>
  <cp:keywords/>
  <dc:description/>
  <cp:lastModifiedBy>Vanja Župan</cp:lastModifiedBy>
  <cp:revision>8</cp:revision>
  <cp:lastPrinted>2022-01-25T12:56:00Z</cp:lastPrinted>
  <dcterms:created xsi:type="dcterms:W3CDTF">2022-01-25T11:37:00Z</dcterms:created>
  <dcterms:modified xsi:type="dcterms:W3CDTF">2022-01-26T07:42:00Z</dcterms:modified>
</cp:coreProperties>
</file>